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2D9F" w:rsidP="003B7FE7">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t>
      </w:r>
      <w:r w:rsidR="002341D4">
        <w:rPr>
          <w:rFonts w:ascii="Arial" w:hAnsi="Arial" w:cs="Arial" w:hint="eastAsia"/>
          <w:b/>
          <w:bCs/>
          <w:sz w:val="22"/>
          <w:lang w:val="en-GB"/>
        </w:rPr>
        <w:t xml:space="preserve">Meeting </w:t>
      </w:r>
      <w:r>
        <w:rPr>
          <w:rFonts w:ascii="Arial" w:eastAsia="SimSun" w:hAnsi="Arial" w:cs="Arial"/>
          <w:b/>
          <w:bCs/>
          <w:sz w:val="22"/>
          <w:lang w:val="en-GB"/>
        </w:rPr>
        <w:t>78</w:t>
      </w:r>
      <w:r w:rsidR="00840537">
        <w:rPr>
          <w:rFonts w:ascii="Arial" w:eastAsia="SimSun" w:hAnsi="Arial" w:cs="Arial"/>
          <w:b/>
          <w:bCs/>
          <w:sz w:val="22"/>
          <w:lang w:val="en-GB"/>
        </w:rPr>
        <w:t>,</w:t>
      </w:r>
      <w:r>
        <w:rPr>
          <w:rFonts w:ascii="Arial" w:eastAsia="SimSun" w:hAnsi="Arial" w:cs="Arial"/>
          <w:b/>
          <w:bCs/>
          <w:sz w:val="22"/>
          <w:lang w:val="en-GB"/>
        </w:rPr>
        <w:t xml:space="preserve">             </w:t>
      </w:r>
      <w:r w:rsidR="003B7FE7" w:rsidRPr="003B7FE7">
        <w:rPr>
          <w:rFonts w:ascii="Arial" w:hAnsi="Arial" w:cs="Arial" w:hint="eastAsia"/>
          <w:b/>
          <w:bCs/>
          <w:sz w:val="22"/>
          <w:lang w:val="en-GB"/>
        </w:rPr>
        <w:t xml:space="preserve">     </w:t>
      </w:r>
      <w:r w:rsidR="005F6DCA">
        <w:rPr>
          <w:rFonts w:ascii="Arial" w:hAnsi="Arial" w:cs="Arial" w:hint="eastAsia"/>
          <w:b/>
          <w:bCs/>
          <w:sz w:val="22"/>
          <w:lang w:val="en-GB"/>
        </w:rPr>
        <w:t xml:space="preserve">                           </w:t>
      </w:r>
      <w:r w:rsidR="005F6DCA">
        <w:rPr>
          <w:rFonts w:ascii="Arial" w:hAnsi="Arial" w:cs="Arial"/>
          <w:b/>
          <w:bCs/>
          <w:sz w:val="22"/>
          <w:lang w:val="en-GB"/>
        </w:rPr>
        <w:t>RP-172390</w:t>
      </w:r>
    </w:p>
    <w:p w:rsidR="003B7FE7" w:rsidRPr="003B7FE7" w:rsidRDefault="003B2D9F" w:rsidP="003B7FE7">
      <w:pPr>
        <w:widowControl w:val="0"/>
        <w:tabs>
          <w:tab w:val="left" w:pos="1701"/>
        </w:tabs>
        <w:autoSpaceDE w:val="0"/>
        <w:autoSpaceDN w:val="0"/>
        <w:spacing w:line="240" w:lineRule="auto"/>
        <w:outlineLvl w:val="0"/>
        <w:rPr>
          <w:rFonts w:ascii="Arial" w:hAnsi="Arial" w:cs="Arial"/>
          <w:b/>
          <w:bCs/>
          <w:sz w:val="22"/>
          <w:lang w:val="en-GB"/>
        </w:rPr>
      </w:pPr>
      <w:r>
        <w:rPr>
          <w:rFonts w:ascii="Arial" w:eastAsia="SimSun" w:hAnsi="Arial" w:cs="Arial"/>
          <w:b/>
          <w:bCs/>
          <w:sz w:val="22"/>
          <w:lang w:val="en-GB"/>
        </w:rPr>
        <w:t>Lisbon</w:t>
      </w:r>
      <w:r w:rsidR="00D63D50" w:rsidRPr="00D63D50">
        <w:rPr>
          <w:rFonts w:ascii="Arial" w:eastAsia="SimSun" w:hAnsi="Arial" w:cs="Arial"/>
          <w:b/>
          <w:bCs/>
          <w:sz w:val="22"/>
          <w:lang w:val="en-GB"/>
        </w:rPr>
        <w:t xml:space="preserve">, </w:t>
      </w:r>
      <w:r>
        <w:rPr>
          <w:rFonts w:ascii="Arial" w:eastAsia="SimSun" w:hAnsi="Arial" w:cs="Arial"/>
          <w:b/>
          <w:bCs/>
          <w:sz w:val="22"/>
          <w:lang w:val="en-GB"/>
        </w:rPr>
        <w:t>Portugal</w:t>
      </w:r>
      <w:r w:rsidR="00D63D50" w:rsidRPr="00D63D50">
        <w:rPr>
          <w:rFonts w:ascii="Arial" w:eastAsia="SimSun" w:hAnsi="Arial" w:cs="Arial"/>
          <w:b/>
          <w:bCs/>
          <w:sz w:val="22"/>
          <w:lang w:val="en-GB"/>
        </w:rPr>
        <w:t xml:space="preserve">, </w:t>
      </w:r>
      <w:r>
        <w:rPr>
          <w:rFonts w:ascii="Arial" w:eastAsia="SimSun" w:hAnsi="Arial" w:cs="Arial"/>
          <w:b/>
          <w:bCs/>
          <w:sz w:val="22"/>
          <w:lang w:val="en-GB"/>
        </w:rPr>
        <w:t>Dec 18</w:t>
      </w:r>
      <w:r w:rsidRPr="003B2D9F">
        <w:rPr>
          <w:rFonts w:ascii="Arial" w:eastAsia="SimSun" w:hAnsi="Arial" w:cs="Arial"/>
          <w:b/>
          <w:bCs/>
          <w:sz w:val="22"/>
          <w:vertAlign w:val="superscript"/>
          <w:lang w:val="en-GB"/>
        </w:rPr>
        <w:t>th</w:t>
      </w:r>
      <w:r>
        <w:rPr>
          <w:rFonts w:ascii="Arial" w:eastAsia="SimSun" w:hAnsi="Arial" w:cs="Arial"/>
          <w:b/>
          <w:bCs/>
          <w:sz w:val="22"/>
          <w:lang w:val="en-GB"/>
        </w:rPr>
        <w:t xml:space="preserve"> </w:t>
      </w:r>
      <w:r w:rsidR="00D63D50" w:rsidRPr="00D63D50">
        <w:rPr>
          <w:rFonts w:ascii="Arial" w:eastAsia="SimSun" w:hAnsi="Arial" w:cs="Arial"/>
          <w:b/>
          <w:bCs/>
          <w:sz w:val="22"/>
          <w:lang w:val="en-GB"/>
        </w:rPr>
        <w:t xml:space="preserve">– </w:t>
      </w:r>
      <w:r w:rsidR="00783B4C">
        <w:rPr>
          <w:rFonts w:ascii="Arial" w:eastAsia="SimSun" w:hAnsi="Arial" w:cs="Arial" w:hint="eastAsia"/>
          <w:b/>
          <w:bCs/>
          <w:sz w:val="22"/>
          <w:lang w:val="en-GB"/>
        </w:rPr>
        <w:t>Dec</w:t>
      </w:r>
      <w:r>
        <w:rPr>
          <w:rFonts w:ascii="Arial" w:eastAsia="SimSun" w:hAnsi="Arial" w:cs="Arial"/>
          <w:b/>
          <w:bCs/>
          <w:sz w:val="22"/>
          <w:lang w:val="en-GB"/>
        </w:rPr>
        <w:t xml:space="preserve"> 21</w:t>
      </w:r>
      <w:r>
        <w:rPr>
          <w:rFonts w:ascii="Arial" w:eastAsia="SimSun" w:hAnsi="Arial" w:cs="Arial"/>
          <w:b/>
          <w:bCs/>
          <w:sz w:val="22"/>
          <w:vertAlign w:val="superscript"/>
          <w:lang w:val="en-GB"/>
        </w:rPr>
        <w:t>st,</w:t>
      </w:r>
      <w:r>
        <w:rPr>
          <w:rFonts w:ascii="Arial" w:eastAsia="SimSun" w:hAnsi="Arial" w:cs="Arial"/>
          <w:b/>
          <w:bCs/>
          <w:sz w:val="22"/>
          <w:lang w:val="en-GB"/>
        </w:rPr>
        <w:t xml:space="preserve"> </w:t>
      </w:r>
      <w:r w:rsidR="00D63D50" w:rsidRPr="00D63D50">
        <w:rPr>
          <w:rFonts w:ascii="Arial" w:eastAsia="SimSun" w:hAnsi="Arial" w:cs="Arial"/>
          <w:b/>
          <w:bCs/>
          <w:sz w:val="22"/>
          <w:lang w:val="en-GB"/>
        </w:rPr>
        <w:t>201</w:t>
      </w:r>
      <w:r w:rsidR="00D63D50" w:rsidRPr="00D63D50">
        <w:rPr>
          <w:rFonts w:ascii="Arial" w:eastAsia="SimSun" w:hAnsi="Arial" w:cs="Arial" w:hint="eastAsia"/>
          <w:b/>
          <w:bCs/>
          <w:sz w:val="22"/>
          <w:lang w:val="en-GB"/>
        </w:rPr>
        <w:t>7</w:t>
      </w:r>
    </w:p>
    <w:p w:rsidR="00CC4742" w:rsidRPr="003A15B3" w:rsidRDefault="00CC4742"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2C40E2">
        <w:rPr>
          <w:rFonts w:ascii="Arial" w:hAnsi="Arial" w:cs="Arial" w:hint="eastAsia"/>
          <w:b/>
          <w:bCs/>
          <w:sz w:val="22"/>
          <w:lang w:val="en-GB"/>
        </w:rPr>
        <w:t>, San</w:t>
      </w:r>
      <w:r w:rsidR="00771886">
        <w:rPr>
          <w:rFonts w:ascii="Arial" w:hAnsi="Arial" w:cs="Arial" w:hint="eastAsia"/>
          <w:b/>
          <w:bCs/>
          <w:sz w:val="22"/>
          <w:lang w:val="en-GB"/>
        </w:rPr>
        <w:t>e</w:t>
      </w:r>
      <w:r w:rsidR="002C40E2">
        <w:rPr>
          <w:rFonts w:ascii="Arial" w:hAnsi="Arial" w:cs="Arial" w:hint="eastAsia"/>
          <w:b/>
          <w:bCs/>
          <w:sz w:val="22"/>
          <w:lang w:val="en-GB"/>
        </w:rPr>
        <w:t>chip</w:t>
      </w:r>
      <w:r w:rsidR="00771886">
        <w:rPr>
          <w:rFonts w:ascii="Arial" w:hAnsi="Arial" w:cs="Arial" w:hint="eastAsia"/>
          <w:b/>
          <w:bCs/>
          <w:sz w:val="22"/>
          <w:lang w:val="en-GB"/>
        </w:rPr>
        <w:t>s</w:t>
      </w:r>
      <w:r w:rsidR="008158AA">
        <w:rPr>
          <w:rFonts w:ascii="Arial" w:hAnsi="Arial" w:cs="Arial"/>
          <w:b/>
          <w:bCs/>
          <w:sz w:val="22"/>
          <w:lang w:val="en-GB"/>
        </w:rPr>
        <w:t>, Orange, Deutsche Telekom, CMCC</w:t>
      </w:r>
    </w:p>
    <w:p w:rsidR="00A569A4" w:rsidRPr="002C40E2"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3B2D9F">
        <w:rPr>
          <w:rFonts w:ascii="Arial" w:hAnsi="Arial" w:cs="Arial"/>
          <w:b/>
          <w:bCs/>
          <w:sz w:val="22"/>
          <w:lang w:val="en-GB"/>
        </w:rPr>
        <w:t>On the support of different numerologies</w:t>
      </w:r>
      <w:r w:rsidR="00367F40">
        <w:rPr>
          <w:rFonts w:ascii="Arial" w:hAnsi="Arial" w:cs="Arial"/>
          <w:b/>
          <w:bCs/>
          <w:sz w:val="22"/>
          <w:lang w:val="en-GB"/>
        </w:rPr>
        <w:t xml:space="preserve"> in one PUCCH group</w:t>
      </w:r>
      <w:r w:rsidR="003B2D9F">
        <w:rPr>
          <w:rFonts w:ascii="Arial" w:hAnsi="Arial" w:cs="Arial"/>
          <w:b/>
          <w:bCs/>
          <w:sz w:val="22"/>
          <w:lang w:val="en-GB"/>
        </w:rPr>
        <w:t xml:space="preserve"> </w:t>
      </w:r>
    </w:p>
    <w:p w:rsidR="00A569A4" w:rsidRPr="00C7592C" w:rsidRDefault="00A569A4" w:rsidP="001C12F2">
      <w:pPr>
        <w:widowControl w:val="0"/>
        <w:tabs>
          <w:tab w:val="left" w:pos="1701"/>
        </w:tabs>
        <w:autoSpaceDE w:val="0"/>
        <w:autoSpaceDN w:val="0"/>
        <w:spacing w:line="240" w:lineRule="auto"/>
        <w:rPr>
          <w:rFonts w:ascii="Arial" w:hAnsi="Arial" w:cs="Arial"/>
          <w:b/>
          <w:bCs/>
          <w:sz w:val="22"/>
        </w:rPr>
      </w:pPr>
      <w:r w:rsidRPr="00C7592C">
        <w:rPr>
          <w:rFonts w:ascii="Arial" w:hAnsi="Arial" w:cs="Arial"/>
          <w:b/>
          <w:bCs/>
          <w:sz w:val="22"/>
        </w:rPr>
        <w:t>Agenda Item:</w:t>
      </w:r>
      <w:bookmarkStart w:id="0" w:name="Source"/>
      <w:bookmarkEnd w:id="0"/>
      <w:r w:rsidR="00991963" w:rsidRPr="00C7592C">
        <w:rPr>
          <w:rFonts w:ascii="Arial" w:hAnsi="Arial" w:cs="Arial" w:hint="eastAsia"/>
          <w:b/>
          <w:bCs/>
          <w:sz w:val="22"/>
        </w:rPr>
        <w:t xml:space="preserve">  </w:t>
      </w:r>
      <w:r w:rsidR="001C12F2" w:rsidRPr="00C7592C">
        <w:rPr>
          <w:rFonts w:ascii="Arial" w:hAnsi="Arial" w:cs="Arial"/>
          <w:b/>
          <w:bCs/>
          <w:sz w:val="22"/>
        </w:rPr>
        <w:tab/>
      </w:r>
      <w:r w:rsidR="005F6DCA" w:rsidRPr="00C7592C">
        <w:rPr>
          <w:rFonts w:ascii="Arial" w:hAnsi="Arial" w:cs="Arial"/>
          <w:b/>
          <w:bCs/>
          <w:sz w:val="22"/>
        </w:rPr>
        <w:t>9.2.1</w:t>
      </w:r>
    </w:p>
    <w:p w:rsidR="00A569A4" w:rsidRDefault="00A569A4" w:rsidP="00367F40">
      <w:pPr>
        <w:pBdr>
          <w:bottom w:val="single" w:sz="4" w:space="2"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67F40" w:rsidRPr="00525CF4" w:rsidRDefault="00367F40" w:rsidP="00367F40">
      <w:pPr>
        <w:pBdr>
          <w:bottom w:val="single" w:sz="4" w:space="2" w:color="auto"/>
        </w:pBdr>
        <w:tabs>
          <w:tab w:val="left" w:pos="1701"/>
          <w:tab w:val="left" w:pos="2552"/>
        </w:tabs>
        <w:rPr>
          <w:rFonts w:ascii="Arial" w:hAnsi="Arial" w:cs="Arial"/>
          <w:b/>
          <w:sz w:val="22"/>
        </w:rPr>
      </w:pP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F179E8" w:rsidRDefault="003B2D9F" w:rsidP="00061723">
      <w:pPr>
        <w:spacing w:afterLines="50"/>
        <w:jc w:val="both"/>
        <w:rPr>
          <w:rFonts w:eastAsia="Arial Unicode MS" w:cs="Arial"/>
          <w:kern w:val="2"/>
          <w:szCs w:val="20"/>
        </w:rPr>
      </w:pPr>
      <w:bookmarkStart w:id="4" w:name="OLE_LINK98"/>
      <w:bookmarkStart w:id="5" w:name="OLE_LINK99"/>
      <w:r>
        <w:rPr>
          <w:rFonts w:eastAsia="Arial Unicode MS" w:cs="Arial"/>
          <w:kern w:val="2"/>
          <w:szCs w:val="20"/>
        </w:rPr>
        <w:t>In RAN</w:t>
      </w:r>
      <w:r w:rsidR="0099216E">
        <w:rPr>
          <w:rFonts w:eastAsia="Arial Unicode MS" w:cs="Arial"/>
          <w:kern w:val="2"/>
          <w:szCs w:val="20"/>
        </w:rPr>
        <w:t xml:space="preserve">#77 it was discussed </w:t>
      </w:r>
      <w:r w:rsidR="00936AEF">
        <w:rPr>
          <w:rFonts w:eastAsia="Arial Unicode MS" w:cs="Arial"/>
          <w:kern w:val="2"/>
          <w:szCs w:val="20"/>
        </w:rPr>
        <w:t xml:space="preserve">and decided </w:t>
      </w:r>
      <w:r w:rsidR="0099216E">
        <w:rPr>
          <w:rFonts w:eastAsia="Arial Unicode MS" w:cs="Arial"/>
          <w:kern w:val="2"/>
          <w:szCs w:val="20"/>
        </w:rPr>
        <w:t>to down-scope the work plan for RAN1 and RAN4 [1]</w:t>
      </w:r>
      <w:r w:rsidR="00936AEF">
        <w:rPr>
          <w:rFonts w:eastAsia="Arial Unicode MS" w:cs="Arial"/>
          <w:kern w:val="2"/>
          <w:szCs w:val="20"/>
        </w:rPr>
        <w:t>.</w:t>
      </w:r>
      <w:r w:rsidR="0099216E">
        <w:rPr>
          <w:rFonts w:eastAsia="Arial Unicode MS" w:cs="Arial"/>
          <w:kern w:val="2"/>
          <w:szCs w:val="20"/>
        </w:rPr>
        <w:t xml:space="preserve"> </w:t>
      </w:r>
      <w:r w:rsidR="00936AEF">
        <w:rPr>
          <w:rFonts w:eastAsia="Arial Unicode MS" w:cs="Arial"/>
          <w:kern w:val="2"/>
          <w:szCs w:val="20"/>
        </w:rPr>
        <w:t>T</w:t>
      </w:r>
      <w:r w:rsidR="0099216E">
        <w:rPr>
          <w:rFonts w:eastAsia="Arial Unicode MS" w:cs="Arial"/>
          <w:kern w:val="2"/>
          <w:szCs w:val="20"/>
        </w:rPr>
        <w:t>he primary int</w:t>
      </w:r>
      <w:r w:rsidR="00936AEF">
        <w:rPr>
          <w:rFonts w:eastAsia="Arial Unicode MS" w:cs="Arial"/>
          <w:kern w:val="2"/>
          <w:szCs w:val="20"/>
        </w:rPr>
        <w:t>ent</w:t>
      </w:r>
      <w:r w:rsidR="0099216E">
        <w:rPr>
          <w:rFonts w:eastAsia="Arial Unicode MS" w:cs="Arial"/>
          <w:kern w:val="2"/>
          <w:szCs w:val="20"/>
        </w:rPr>
        <w:t xml:space="preserve"> </w:t>
      </w:r>
      <w:r w:rsidR="00936AEF">
        <w:rPr>
          <w:rFonts w:eastAsia="Arial Unicode MS" w:cs="Arial"/>
          <w:kern w:val="2"/>
          <w:szCs w:val="20"/>
        </w:rPr>
        <w:t xml:space="preserve">was </w:t>
      </w:r>
      <w:r w:rsidR="0099216E">
        <w:rPr>
          <w:rFonts w:eastAsia="Arial Unicode MS" w:cs="Arial"/>
          <w:kern w:val="2"/>
          <w:szCs w:val="20"/>
        </w:rPr>
        <w:t>to finish the release for non-standalone in December.</w:t>
      </w:r>
      <w:r w:rsidR="008F674A">
        <w:rPr>
          <w:rFonts w:eastAsia="Arial Unicode MS" w:cs="Arial"/>
          <w:kern w:val="2"/>
          <w:szCs w:val="20"/>
        </w:rPr>
        <w:t xml:space="preserve"> </w:t>
      </w:r>
      <w:r w:rsidR="00381656">
        <w:rPr>
          <w:rFonts w:eastAsia="Arial Unicode MS" w:cs="Arial"/>
          <w:kern w:val="2"/>
          <w:szCs w:val="20"/>
        </w:rPr>
        <w:t xml:space="preserve">During the plenary </w:t>
      </w:r>
      <w:r w:rsidR="008F674A">
        <w:rPr>
          <w:rFonts w:eastAsia="Arial Unicode MS" w:cs="Arial"/>
          <w:kern w:val="2"/>
          <w:szCs w:val="20"/>
        </w:rPr>
        <w:t xml:space="preserve">down-scoping </w:t>
      </w:r>
      <w:r w:rsidR="00381656">
        <w:rPr>
          <w:rFonts w:eastAsia="Arial Unicode MS" w:cs="Arial"/>
          <w:kern w:val="2"/>
          <w:szCs w:val="20"/>
        </w:rPr>
        <w:t>discussions,</w:t>
      </w:r>
      <w:r w:rsidR="008F674A">
        <w:rPr>
          <w:rFonts w:eastAsia="Arial Unicode MS" w:cs="Arial"/>
          <w:kern w:val="2"/>
          <w:szCs w:val="20"/>
        </w:rPr>
        <w:t xml:space="preserve"> not all </w:t>
      </w:r>
      <w:r w:rsidR="00381656">
        <w:rPr>
          <w:rFonts w:eastAsia="Arial Unicode MS" w:cs="Arial"/>
          <w:kern w:val="2"/>
          <w:szCs w:val="20"/>
        </w:rPr>
        <w:t>the impact on the RAN1 specifications</w:t>
      </w:r>
      <w:r w:rsidR="008F674A">
        <w:rPr>
          <w:rFonts w:eastAsia="Arial Unicode MS" w:cs="Arial"/>
          <w:kern w:val="2"/>
          <w:szCs w:val="20"/>
        </w:rPr>
        <w:t xml:space="preserve"> could be foreseen and some freedom was also given to RAN1 to include essential cases that have been left out</w:t>
      </w:r>
      <w:r w:rsidR="00381656">
        <w:rPr>
          <w:rFonts w:eastAsia="Arial Unicode MS" w:cs="Arial"/>
          <w:kern w:val="2"/>
          <w:szCs w:val="20"/>
        </w:rPr>
        <w:t xml:space="preserve">. </w:t>
      </w:r>
    </w:p>
    <w:p w:rsidR="00F179E8" w:rsidRDefault="00C93201" w:rsidP="00061723">
      <w:pPr>
        <w:spacing w:afterLines="50"/>
        <w:jc w:val="both"/>
        <w:rPr>
          <w:rFonts w:eastAsia="Arial Unicode MS" w:cs="Arial"/>
          <w:kern w:val="2"/>
          <w:szCs w:val="20"/>
        </w:rPr>
      </w:pPr>
      <w:r>
        <w:rPr>
          <w:rFonts w:eastAsia="Arial Unicode MS" w:cs="Arial"/>
          <w:kern w:val="2"/>
          <w:szCs w:val="20"/>
        </w:rPr>
        <w:t xml:space="preserve">In this contribution we </w:t>
      </w:r>
      <w:r w:rsidR="0040796A">
        <w:rPr>
          <w:rFonts w:eastAsia="Arial Unicode MS" w:cs="Arial"/>
          <w:kern w:val="2"/>
          <w:szCs w:val="20"/>
        </w:rPr>
        <w:t>discuss</w:t>
      </w:r>
      <w:r>
        <w:rPr>
          <w:rFonts w:eastAsia="Arial Unicode MS" w:cs="Arial"/>
          <w:kern w:val="2"/>
          <w:szCs w:val="20"/>
        </w:rPr>
        <w:t xml:space="preserve"> </w:t>
      </w:r>
      <w:r w:rsidR="00426B02">
        <w:rPr>
          <w:rFonts w:eastAsia="Arial Unicode MS" w:cs="Arial"/>
          <w:kern w:val="2"/>
          <w:szCs w:val="20"/>
        </w:rPr>
        <w:t>different numerologies</w:t>
      </w:r>
      <w:r w:rsidR="0040796A">
        <w:rPr>
          <w:rFonts w:eastAsia="Arial Unicode MS" w:cs="Arial"/>
          <w:kern w:val="2"/>
          <w:szCs w:val="20"/>
        </w:rPr>
        <w:t xml:space="preserve"> within one PUCCH group</w:t>
      </w:r>
      <w:r w:rsidR="0030764B">
        <w:rPr>
          <w:rFonts w:eastAsia="Arial Unicode MS" w:cs="Arial"/>
          <w:kern w:val="2"/>
          <w:szCs w:val="20"/>
        </w:rPr>
        <w:t>.</w:t>
      </w:r>
      <w:r>
        <w:rPr>
          <w:rFonts w:eastAsia="Arial Unicode MS" w:cs="Arial"/>
          <w:kern w:val="2"/>
          <w:szCs w:val="20"/>
        </w:rPr>
        <w:t xml:space="preserve"> </w:t>
      </w:r>
      <w:r w:rsidR="0030764B">
        <w:rPr>
          <w:rFonts w:eastAsia="Arial Unicode MS" w:cs="Arial"/>
          <w:kern w:val="2"/>
          <w:szCs w:val="20"/>
        </w:rPr>
        <w:t>This issue</w:t>
      </w:r>
      <w:r w:rsidR="000A1450">
        <w:rPr>
          <w:rFonts w:eastAsia="Arial Unicode MS" w:cs="Arial"/>
          <w:kern w:val="2"/>
          <w:szCs w:val="20"/>
        </w:rPr>
        <w:t xml:space="preserve"> is </w:t>
      </w:r>
      <w:r>
        <w:rPr>
          <w:rFonts w:eastAsia="Arial Unicode MS" w:cs="Arial"/>
          <w:kern w:val="2"/>
          <w:szCs w:val="20"/>
        </w:rPr>
        <w:t xml:space="preserve">included </w:t>
      </w:r>
      <w:r w:rsidR="0040796A">
        <w:rPr>
          <w:rFonts w:eastAsia="Arial Unicode MS" w:cs="Arial"/>
          <w:kern w:val="2"/>
          <w:szCs w:val="20"/>
        </w:rPr>
        <w:t xml:space="preserve">in [1] </w:t>
      </w:r>
      <w:r>
        <w:rPr>
          <w:rFonts w:eastAsia="Arial Unicode MS" w:cs="Arial"/>
          <w:kern w:val="2"/>
          <w:szCs w:val="20"/>
        </w:rPr>
        <w:t xml:space="preserve">in </w:t>
      </w:r>
      <w:r w:rsidR="00061723">
        <w:rPr>
          <w:rFonts w:eastAsia="Arial Unicode MS" w:cs="Arial"/>
          <w:kern w:val="2"/>
          <w:szCs w:val="20"/>
        </w:rPr>
        <w:t>the Scheduling/HARQ category.</w:t>
      </w:r>
      <w:r>
        <w:rPr>
          <w:rFonts w:eastAsia="Arial Unicode MS" w:cs="Arial"/>
          <w:kern w:val="2"/>
          <w:szCs w:val="20"/>
        </w:rPr>
        <w:t xml:space="preserve"> </w:t>
      </w:r>
      <w:r w:rsidR="00061723">
        <w:rPr>
          <w:rFonts w:eastAsia="Arial Unicode MS" w:cs="Arial"/>
          <w:kern w:val="2"/>
          <w:szCs w:val="20"/>
        </w:rPr>
        <w:t xml:space="preserve">We </w:t>
      </w:r>
      <w:r>
        <w:rPr>
          <w:rFonts w:eastAsia="Arial Unicode MS" w:cs="Arial"/>
          <w:kern w:val="2"/>
          <w:szCs w:val="20"/>
        </w:rPr>
        <w:t xml:space="preserve">analyze its implications on important use cases and also describe how it is addressed in the current RAN1 specification.       </w:t>
      </w:r>
    </w:p>
    <w:tbl>
      <w:tblPr>
        <w:tblStyle w:val="TableGrid"/>
        <w:tblW w:w="9072" w:type="dxa"/>
        <w:tblInd w:w="108" w:type="dxa"/>
        <w:tblLook w:val="04A0"/>
      </w:tblPr>
      <w:tblGrid>
        <w:gridCol w:w="9072"/>
      </w:tblGrid>
      <w:tr w:rsidR="00C93201" w:rsidTr="001370AA">
        <w:tc>
          <w:tcPr>
            <w:tcW w:w="9072" w:type="dxa"/>
          </w:tcPr>
          <w:p w:rsidR="00C93201" w:rsidRDefault="00C93201" w:rsidP="001370AA">
            <w:pPr>
              <w:jc w:val="both"/>
              <w:rPr>
                <w:szCs w:val="20"/>
              </w:rPr>
            </w:pPr>
            <w:r>
              <w:rPr>
                <w:szCs w:val="20"/>
              </w:rPr>
              <w:t>From [1]:</w:t>
            </w:r>
          </w:p>
          <w:p w:rsidR="00C93201" w:rsidRPr="00DA57A9" w:rsidRDefault="00C93201" w:rsidP="001370AA">
            <w:pPr>
              <w:pStyle w:val="ListParagraph"/>
              <w:numPr>
                <w:ilvl w:val="1"/>
                <w:numId w:val="29"/>
              </w:numPr>
              <w:adjustRightInd/>
              <w:spacing w:line="240" w:lineRule="auto"/>
              <w:ind w:left="840" w:firstLineChars="0"/>
              <w:contextualSpacing/>
              <w:rPr>
                <w:rFonts w:eastAsia="MS Mincho"/>
                <w:b/>
                <w:szCs w:val="20"/>
                <w:lang w:eastAsia="ja-JP"/>
              </w:rPr>
            </w:pPr>
            <w:r w:rsidRPr="00F55D44">
              <w:rPr>
                <w:rFonts w:eastAsia="MS Mincho"/>
                <w:b/>
                <w:szCs w:val="20"/>
                <w:lang w:eastAsia="ja-JP"/>
              </w:rPr>
              <w:t>By December 2017</w:t>
            </w:r>
          </w:p>
          <w:p w:rsidR="00C93201" w:rsidRPr="00245FBC" w:rsidRDefault="00C93201" w:rsidP="001370AA">
            <w:pPr>
              <w:pStyle w:val="ListParagraph"/>
              <w:numPr>
                <w:ilvl w:val="2"/>
                <w:numId w:val="29"/>
              </w:numPr>
              <w:adjustRightInd/>
              <w:spacing w:line="240" w:lineRule="auto"/>
              <w:ind w:left="1260" w:firstLineChars="0"/>
              <w:contextualSpacing/>
              <w:rPr>
                <w:rFonts w:eastAsia="MS Mincho"/>
                <w:szCs w:val="20"/>
                <w:lang w:eastAsia="ja-JP"/>
              </w:rPr>
            </w:pPr>
            <w:r w:rsidRPr="00245FBC">
              <w:rPr>
                <w:rFonts w:eastAsia="MS Mincho"/>
                <w:szCs w:val="20"/>
                <w:lang w:eastAsia="ja-JP"/>
              </w:rPr>
              <w:t>NR-NR CA with the same and different numerologies</w:t>
            </w:r>
          </w:p>
          <w:p w:rsidR="00C93201" w:rsidRPr="00381656" w:rsidRDefault="00C93201" w:rsidP="001370AA">
            <w:pPr>
              <w:pStyle w:val="ListParagraph"/>
              <w:numPr>
                <w:ilvl w:val="3"/>
                <w:numId w:val="29"/>
              </w:numPr>
              <w:adjustRightInd/>
              <w:spacing w:line="240" w:lineRule="auto"/>
              <w:ind w:left="1680" w:firstLineChars="0"/>
              <w:contextualSpacing/>
              <w:rPr>
                <w:rFonts w:eastAsia="MS Mincho"/>
                <w:szCs w:val="20"/>
                <w:lang w:eastAsia="ja-JP"/>
              </w:rPr>
            </w:pPr>
            <w:r w:rsidRPr="00245FBC">
              <w:rPr>
                <w:rFonts w:eastAsia="MS Mincho" w:hint="eastAsia"/>
                <w:szCs w:val="20"/>
                <w:lang w:eastAsia="ja-JP"/>
              </w:rPr>
              <w:t>Same numerology within the same PUCCH group</w:t>
            </w:r>
            <w:r w:rsidRPr="00245FBC">
              <w:rPr>
                <w:rFonts w:eastAsia="MS Mincho"/>
                <w:szCs w:val="20"/>
                <w:lang w:eastAsia="ja-JP"/>
              </w:rPr>
              <w:t>, including both DL and UL</w:t>
            </w:r>
          </w:p>
          <w:p w:rsidR="00C93201" w:rsidRPr="0099216E" w:rsidRDefault="00C93201" w:rsidP="001370AA">
            <w:pPr>
              <w:jc w:val="both"/>
              <w:rPr>
                <w:szCs w:val="20"/>
              </w:rPr>
            </w:pPr>
          </w:p>
        </w:tc>
      </w:tr>
    </w:tbl>
    <w:p w:rsidR="00EE59AD" w:rsidRDefault="00C93201" w:rsidP="00061723">
      <w:pPr>
        <w:spacing w:beforeLines="50" w:afterLines="50"/>
        <w:jc w:val="both"/>
        <w:rPr>
          <w:rFonts w:eastAsia="Arial Unicode MS" w:cs="Arial"/>
          <w:kern w:val="2"/>
          <w:szCs w:val="20"/>
        </w:rPr>
      </w:pPr>
      <w:r>
        <w:rPr>
          <w:rFonts w:eastAsia="Arial Unicode MS" w:cs="Arial"/>
          <w:kern w:val="2"/>
          <w:szCs w:val="20"/>
        </w:rPr>
        <w:t xml:space="preserve">In this contribution it is concluded that the current </w:t>
      </w:r>
      <w:r w:rsidR="000A1450">
        <w:rPr>
          <w:rFonts w:eastAsia="Arial Unicode MS" w:cs="Arial"/>
          <w:kern w:val="2"/>
          <w:szCs w:val="20"/>
        </w:rPr>
        <w:t xml:space="preserve">RAN1 </w:t>
      </w:r>
      <w:r>
        <w:rPr>
          <w:rFonts w:eastAsia="Arial Unicode MS" w:cs="Arial"/>
          <w:kern w:val="2"/>
          <w:szCs w:val="20"/>
        </w:rPr>
        <w:t>specification and the corresponding agreements already include different numerologies within the same PUCCH group. No extra specification effort is therefore needed</w:t>
      </w:r>
      <w:r w:rsidR="00F8498F">
        <w:rPr>
          <w:rFonts w:eastAsia="Arial Unicode MS" w:cs="Arial"/>
          <w:kern w:val="2"/>
          <w:szCs w:val="20"/>
        </w:rPr>
        <w:t xml:space="preserve"> from the RAN1 perspective</w:t>
      </w:r>
      <w:r>
        <w:rPr>
          <w:rFonts w:eastAsia="Arial Unicode MS" w:cs="Arial"/>
          <w:kern w:val="2"/>
          <w:szCs w:val="20"/>
        </w:rPr>
        <w:t xml:space="preserve">. </w:t>
      </w:r>
    </w:p>
    <w:p w:rsidR="00F179E8" w:rsidRDefault="00C93201" w:rsidP="00061723">
      <w:pPr>
        <w:spacing w:beforeLines="50" w:afterLines="50"/>
        <w:jc w:val="both"/>
        <w:rPr>
          <w:rFonts w:eastAsia="Arial Unicode MS" w:cs="Arial"/>
          <w:kern w:val="2"/>
          <w:szCs w:val="20"/>
        </w:rPr>
      </w:pPr>
      <w:r>
        <w:rPr>
          <w:rFonts w:eastAsia="Arial Unicode MS" w:cs="Arial"/>
          <w:kern w:val="2"/>
          <w:szCs w:val="20"/>
        </w:rPr>
        <w:t>With consideration of the important us</w:t>
      </w:r>
      <w:r w:rsidR="00EE59AD">
        <w:rPr>
          <w:rFonts w:eastAsia="Arial Unicode MS" w:cs="Arial"/>
          <w:kern w:val="2"/>
          <w:szCs w:val="20"/>
        </w:rPr>
        <w:t>e cases it is proposed to reconsider</w:t>
      </w:r>
      <w:r>
        <w:rPr>
          <w:rFonts w:eastAsia="Arial Unicode MS" w:cs="Arial"/>
          <w:kern w:val="2"/>
          <w:szCs w:val="20"/>
        </w:rPr>
        <w:t xml:space="preserve"> </w:t>
      </w:r>
      <w:r w:rsidR="00EC37A6">
        <w:rPr>
          <w:rFonts w:eastAsia="Arial Unicode MS" w:cs="Arial"/>
          <w:kern w:val="2"/>
          <w:szCs w:val="20"/>
        </w:rPr>
        <w:t xml:space="preserve">the </w:t>
      </w:r>
      <w:r>
        <w:rPr>
          <w:rFonts w:eastAsia="Arial Unicode MS" w:cs="Arial"/>
          <w:kern w:val="2"/>
          <w:szCs w:val="20"/>
        </w:rPr>
        <w:t xml:space="preserve">sub-bullet </w:t>
      </w:r>
      <w:r w:rsidR="00EE59AD">
        <w:rPr>
          <w:rFonts w:eastAsia="Arial Unicode MS" w:cs="Arial"/>
          <w:kern w:val="2"/>
          <w:szCs w:val="20"/>
        </w:rPr>
        <w:t xml:space="preserve">from [1] </w:t>
      </w:r>
      <w:r>
        <w:rPr>
          <w:rFonts w:eastAsia="Arial Unicode MS" w:cs="Arial"/>
          <w:kern w:val="2"/>
          <w:szCs w:val="20"/>
        </w:rPr>
        <w:t xml:space="preserve">above </w:t>
      </w:r>
      <w:r w:rsidR="00EE59AD">
        <w:rPr>
          <w:rFonts w:eastAsia="Arial Unicode MS" w:cs="Arial"/>
          <w:kern w:val="2"/>
          <w:szCs w:val="20"/>
        </w:rPr>
        <w:t xml:space="preserve">and </w:t>
      </w:r>
      <w:r>
        <w:rPr>
          <w:rFonts w:eastAsia="Arial Unicode MS" w:cs="Arial"/>
          <w:kern w:val="2"/>
          <w:szCs w:val="20"/>
        </w:rPr>
        <w:t xml:space="preserve">to </w:t>
      </w:r>
      <w:r w:rsidR="00EE59AD">
        <w:rPr>
          <w:rFonts w:eastAsia="Arial Unicode MS" w:cs="Arial"/>
          <w:kern w:val="2"/>
          <w:szCs w:val="20"/>
        </w:rPr>
        <w:t xml:space="preserve">state that </w:t>
      </w:r>
      <w:r>
        <w:rPr>
          <w:rFonts w:eastAsia="Arial Unicode MS" w:cs="Arial"/>
          <w:kern w:val="2"/>
          <w:szCs w:val="20"/>
        </w:rPr>
        <w:t>“</w:t>
      </w:r>
      <w:r w:rsidRPr="00EE59AD">
        <w:rPr>
          <w:rFonts w:eastAsia="Arial Unicode MS" w:cs="Arial"/>
          <w:color w:val="000000" w:themeColor="text1"/>
          <w:kern w:val="2"/>
          <w:szCs w:val="20"/>
        </w:rPr>
        <w:t xml:space="preserve">Same </w:t>
      </w:r>
      <w:r w:rsidRPr="00EE59AD">
        <w:rPr>
          <w:rFonts w:eastAsia="Arial Unicode MS" w:cs="Arial"/>
          <w:color w:val="000000" w:themeColor="text1"/>
          <w:kern w:val="2"/>
          <w:szCs w:val="20"/>
          <w:u w:val="single"/>
        </w:rPr>
        <w:t>and different</w:t>
      </w:r>
      <w:r>
        <w:rPr>
          <w:rFonts w:eastAsia="Arial Unicode MS" w:cs="Arial"/>
          <w:kern w:val="2"/>
          <w:szCs w:val="20"/>
        </w:rPr>
        <w:t xml:space="preserve"> numerology within the same PUCCH group, including both DL and UL”</w:t>
      </w:r>
      <w:r w:rsidR="00EE59AD">
        <w:rPr>
          <w:rFonts w:eastAsia="Arial Unicode MS" w:cs="Arial"/>
          <w:kern w:val="2"/>
          <w:szCs w:val="20"/>
        </w:rPr>
        <w:t xml:space="preserve"> already </w:t>
      </w:r>
      <w:r w:rsidR="0040796A">
        <w:rPr>
          <w:rFonts w:eastAsia="Arial Unicode MS" w:cs="Arial"/>
          <w:kern w:val="2"/>
          <w:szCs w:val="20"/>
        </w:rPr>
        <w:t>is</w:t>
      </w:r>
      <w:r w:rsidR="00EE59AD">
        <w:rPr>
          <w:rFonts w:eastAsia="Arial Unicode MS" w:cs="Arial"/>
          <w:kern w:val="2"/>
          <w:szCs w:val="20"/>
        </w:rPr>
        <w:t xml:space="preserve"> supported from the RAN1 perspective</w:t>
      </w:r>
      <w:r>
        <w:rPr>
          <w:rFonts w:eastAsia="Arial Unicode MS" w:cs="Arial"/>
          <w:kern w:val="2"/>
          <w:szCs w:val="20"/>
        </w:rPr>
        <w:t>.</w:t>
      </w:r>
      <w:r w:rsidR="00F8498F">
        <w:rPr>
          <w:rFonts w:eastAsia="Arial Unicode MS" w:cs="Arial"/>
          <w:kern w:val="2"/>
          <w:szCs w:val="20"/>
        </w:rPr>
        <w:t xml:space="preserve"> F</w:t>
      </w:r>
      <w:r>
        <w:rPr>
          <w:rFonts w:eastAsia="Arial Unicode MS" w:cs="Arial"/>
          <w:kern w:val="2"/>
          <w:szCs w:val="20"/>
        </w:rPr>
        <w:t xml:space="preserve">or the non-standalone case (Dec 2017), multiple numerologies in one PUCCH group are </w:t>
      </w:r>
      <w:r w:rsidR="00EE59AD">
        <w:rPr>
          <w:rFonts w:eastAsia="Arial Unicode MS" w:cs="Arial"/>
          <w:kern w:val="2"/>
          <w:szCs w:val="20"/>
        </w:rPr>
        <w:t xml:space="preserve">therefore </w:t>
      </w:r>
      <w:r>
        <w:rPr>
          <w:rFonts w:eastAsia="Arial Unicode MS" w:cs="Arial"/>
          <w:kern w:val="2"/>
          <w:szCs w:val="20"/>
        </w:rPr>
        <w:t>supported</w:t>
      </w:r>
      <w:r w:rsidR="00F8498F">
        <w:rPr>
          <w:rFonts w:eastAsia="Arial Unicode MS" w:cs="Arial"/>
          <w:kern w:val="2"/>
          <w:szCs w:val="20"/>
        </w:rPr>
        <w:t xml:space="preserve"> and should be allowed for the network configuration</w:t>
      </w:r>
      <w:r>
        <w:rPr>
          <w:rFonts w:eastAsia="Arial Unicode MS" w:cs="Arial"/>
          <w:kern w:val="2"/>
          <w:szCs w:val="20"/>
        </w:rPr>
        <w:t xml:space="preserve">.  </w:t>
      </w:r>
      <w:r w:rsidR="00336388">
        <w:rPr>
          <w:rFonts w:eastAsia="Arial Unicode MS" w:cs="Arial"/>
          <w:kern w:val="2"/>
          <w:szCs w:val="20"/>
        </w:rPr>
        <w:t xml:space="preserve">  </w:t>
      </w:r>
    </w:p>
    <w:p w:rsidR="00336388" w:rsidRDefault="00336388" w:rsidP="00336388">
      <w:pPr>
        <w:pStyle w:val="Heading2"/>
        <w:numPr>
          <w:ilvl w:val="0"/>
          <w:numId w:val="12"/>
        </w:numPr>
        <w:spacing w:before="60" w:after="60"/>
        <w:ind w:hanging="644"/>
      </w:pPr>
      <w:r>
        <w:t>Implications of only having the same numerology in one PUCCH group</w:t>
      </w:r>
    </w:p>
    <w:p w:rsidR="00426B02" w:rsidRPr="00426B02" w:rsidRDefault="00426B02" w:rsidP="00426B02">
      <w:pPr>
        <w:spacing w:beforeLines="50" w:afterLines="50"/>
        <w:jc w:val="both"/>
        <w:rPr>
          <w:rFonts w:eastAsia="Arial Unicode MS" w:cs="Arial"/>
          <w:kern w:val="2"/>
          <w:szCs w:val="20"/>
          <w:lang w:val="en-GB"/>
        </w:rPr>
      </w:pPr>
      <w:r>
        <w:rPr>
          <w:rFonts w:eastAsia="Arial Unicode MS" w:cs="Arial"/>
          <w:kern w:val="2"/>
          <w:szCs w:val="20"/>
          <w:lang w:val="en-GB"/>
        </w:rPr>
        <w:t xml:space="preserve">It has been agreed in [2] </w:t>
      </w:r>
      <w:r>
        <w:rPr>
          <w:rFonts w:eastAsia="Arial Unicode MS" w:cs="Arial" w:hint="eastAsia"/>
          <w:kern w:val="2"/>
          <w:szCs w:val="20"/>
        </w:rPr>
        <w:t>that the number of DL carrier</w:t>
      </w:r>
      <w:r>
        <w:rPr>
          <w:rFonts w:eastAsia="Arial Unicode MS" w:cs="Arial"/>
          <w:kern w:val="2"/>
          <w:szCs w:val="20"/>
        </w:rPr>
        <w:t>s</w:t>
      </w:r>
      <w:r>
        <w:rPr>
          <w:rFonts w:eastAsia="Arial Unicode MS" w:cs="Arial" w:hint="eastAsia"/>
          <w:kern w:val="2"/>
          <w:szCs w:val="20"/>
        </w:rPr>
        <w:t xml:space="preserve"> is 2 in the case of inter-band CA </w:t>
      </w:r>
      <w:r>
        <w:rPr>
          <w:rFonts w:eastAsia="Arial Unicode MS" w:cs="Arial"/>
          <w:kern w:val="2"/>
          <w:szCs w:val="20"/>
        </w:rPr>
        <w:t>and, furthermore, that</w:t>
      </w:r>
      <w:r>
        <w:rPr>
          <w:rFonts w:eastAsia="Arial Unicode MS" w:cs="Arial" w:hint="eastAsia"/>
          <w:kern w:val="2"/>
          <w:szCs w:val="20"/>
        </w:rPr>
        <w:t xml:space="preserve"> UL CA is not supported in NR release 15 for both intra-band and inter-band C</w:t>
      </w:r>
      <w:r>
        <w:rPr>
          <w:rFonts w:eastAsia="Arial Unicode MS" w:cs="Arial"/>
          <w:kern w:val="2"/>
          <w:szCs w:val="20"/>
        </w:rPr>
        <w:t>A</w:t>
      </w:r>
      <w:r>
        <w:rPr>
          <w:rFonts w:eastAsia="Arial Unicode MS" w:cs="Arial" w:hint="eastAsia"/>
          <w:kern w:val="2"/>
          <w:szCs w:val="20"/>
        </w:rPr>
        <w:t xml:space="preserve">. </w:t>
      </w:r>
      <w:r>
        <w:rPr>
          <w:rFonts w:eastAsia="Arial Unicode MS" w:cs="Arial"/>
          <w:kern w:val="2"/>
          <w:szCs w:val="20"/>
        </w:rPr>
        <w:t>T</w:t>
      </w:r>
      <w:r>
        <w:rPr>
          <w:rFonts w:eastAsia="Arial Unicode MS" w:cs="Arial" w:hint="eastAsia"/>
          <w:kern w:val="2"/>
          <w:szCs w:val="20"/>
        </w:rPr>
        <w:t xml:space="preserve">his means </w:t>
      </w:r>
      <w:r>
        <w:rPr>
          <w:rFonts w:eastAsia="Arial Unicode MS" w:cs="Arial"/>
          <w:kern w:val="2"/>
          <w:szCs w:val="20"/>
        </w:rPr>
        <w:t xml:space="preserve">that </w:t>
      </w:r>
      <w:r>
        <w:rPr>
          <w:rFonts w:eastAsia="Arial Unicode MS" w:cs="Arial" w:hint="eastAsia"/>
          <w:kern w:val="2"/>
          <w:szCs w:val="20"/>
        </w:rPr>
        <w:t xml:space="preserve">there is only </w:t>
      </w:r>
      <w:r>
        <w:rPr>
          <w:rFonts w:eastAsia="Arial Unicode MS" w:cs="Arial" w:hint="eastAsia"/>
          <w:kern w:val="2"/>
          <w:szCs w:val="20"/>
        </w:rPr>
        <w:lastRenderedPageBreak/>
        <w:t>one PUCCH group</w:t>
      </w:r>
      <w:r w:rsidR="004E4117">
        <w:rPr>
          <w:rFonts w:eastAsia="Arial Unicode MS" w:cs="Arial"/>
          <w:kern w:val="2"/>
          <w:szCs w:val="20"/>
        </w:rPr>
        <w:t xml:space="preserve"> available</w:t>
      </w:r>
      <w:r>
        <w:rPr>
          <w:rFonts w:eastAsia="Arial Unicode MS" w:cs="Arial" w:hint="eastAsia"/>
          <w:kern w:val="2"/>
          <w:szCs w:val="20"/>
        </w:rPr>
        <w:t xml:space="preserve">. </w:t>
      </w:r>
      <w:r w:rsidR="00C231C0">
        <w:rPr>
          <w:rFonts w:eastAsia="Arial Unicode MS" w:cs="Arial"/>
          <w:kern w:val="2"/>
          <w:szCs w:val="20"/>
        </w:rPr>
        <w:t>If only the same numerology per PUCCH group is supported, then all</w:t>
      </w:r>
      <w:r>
        <w:rPr>
          <w:rFonts w:eastAsia="Arial Unicode MS" w:cs="Arial" w:hint="eastAsia"/>
          <w:kern w:val="2"/>
          <w:szCs w:val="20"/>
        </w:rPr>
        <w:t xml:space="preserve"> cell</w:t>
      </w:r>
      <w:r w:rsidR="009030A5">
        <w:rPr>
          <w:rFonts w:eastAsia="Arial Unicode MS" w:cs="Arial"/>
          <w:kern w:val="2"/>
          <w:szCs w:val="20"/>
        </w:rPr>
        <w:t>s</w:t>
      </w:r>
      <w:r>
        <w:rPr>
          <w:rFonts w:eastAsia="Arial Unicode MS" w:cs="Arial" w:hint="eastAsia"/>
          <w:kern w:val="2"/>
          <w:szCs w:val="20"/>
        </w:rPr>
        <w:t xml:space="preserve"> </w:t>
      </w:r>
      <w:r w:rsidR="00206526">
        <w:rPr>
          <w:rFonts w:eastAsia="Arial Unicode MS" w:cs="Arial"/>
          <w:kern w:val="2"/>
          <w:szCs w:val="20"/>
        </w:rPr>
        <w:t xml:space="preserve">will have to use the same numerology </w:t>
      </w:r>
      <w:r w:rsidR="009030A5">
        <w:rPr>
          <w:rFonts w:eastAsia="Arial Unicode MS" w:cs="Arial" w:hint="eastAsia"/>
          <w:kern w:val="2"/>
          <w:szCs w:val="20"/>
        </w:rPr>
        <w:t>in</w:t>
      </w:r>
      <w:r w:rsidR="009030A5">
        <w:rPr>
          <w:rFonts w:eastAsia="Arial Unicode MS" w:cs="Arial"/>
          <w:kern w:val="2"/>
          <w:szCs w:val="20"/>
        </w:rPr>
        <w:t xml:space="preserve"> </w:t>
      </w:r>
      <w:r>
        <w:rPr>
          <w:rFonts w:eastAsia="Arial Unicode MS" w:cs="Arial" w:hint="eastAsia"/>
          <w:kern w:val="2"/>
          <w:szCs w:val="20"/>
        </w:rPr>
        <w:t>diffe</w:t>
      </w:r>
      <w:r w:rsidR="00206526">
        <w:rPr>
          <w:rFonts w:eastAsia="Arial Unicode MS" w:cs="Arial" w:hint="eastAsia"/>
          <w:kern w:val="2"/>
          <w:szCs w:val="20"/>
        </w:rPr>
        <w:t>rent bands</w:t>
      </w:r>
      <w:r w:rsidR="00206526">
        <w:rPr>
          <w:rFonts w:eastAsia="Arial Unicode MS" w:cs="Arial"/>
          <w:kern w:val="2"/>
          <w:szCs w:val="20"/>
        </w:rPr>
        <w:t>.</w:t>
      </w:r>
    </w:p>
    <w:p w:rsidR="00DE665E" w:rsidRDefault="00D60342" w:rsidP="00061723">
      <w:pPr>
        <w:spacing w:beforeLines="50" w:afterLines="50"/>
        <w:jc w:val="both"/>
        <w:rPr>
          <w:rFonts w:eastAsia="Arial Unicode MS" w:cs="Arial"/>
          <w:kern w:val="2"/>
          <w:szCs w:val="20"/>
          <w:lang w:val="en-GB"/>
        </w:rPr>
      </w:pPr>
      <w:r w:rsidRPr="00D60342">
        <w:rPr>
          <w:rFonts w:eastAsia="Arial Unicode MS" w:cs="Arial"/>
          <w:b/>
          <w:i/>
          <w:kern w:val="2"/>
          <w:szCs w:val="20"/>
          <w:u w:val="single"/>
          <w:lang w:val="en-GB"/>
        </w:rPr>
        <w:t>Observation 1:</w:t>
      </w:r>
      <w:r w:rsidRPr="00D60342">
        <w:rPr>
          <w:rFonts w:eastAsia="Arial Unicode MS" w:cs="Arial"/>
          <w:b/>
          <w:i/>
          <w:kern w:val="2"/>
          <w:szCs w:val="20"/>
          <w:lang w:val="en-GB"/>
        </w:rPr>
        <w:t xml:space="preserve"> Allowing only the same numerology in one PUCCH group implies for NR-CA that all DL CCs need to use the same numerology. </w:t>
      </w:r>
    </w:p>
    <w:p w:rsidR="005F6DCA" w:rsidRDefault="005F6DCA" w:rsidP="00061723">
      <w:pPr>
        <w:spacing w:beforeLines="50" w:afterLines="50"/>
        <w:jc w:val="both"/>
        <w:rPr>
          <w:rFonts w:eastAsia="Arial Unicode MS" w:cs="Arial"/>
          <w:kern w:val="2"/>
          <w:szCs w:val="20"/>
          <w:lang w:val="en-GB"/>
        </w:rPr>
      </w:pPr>
      <w:r>
        <w:rPr>
          <w:rFonts w:eastAsia="Arial Unicode MS" w:cs="Arial"/>
          <w:kern w:val="2"/>
          <w:szCs w:val="20"/>
          <w:lang w:val="en-GB"/>
        </w:rPr>
        <w:t>Being forced to use the same numerology in all CCs implies severe constraints on the availability of band</w:t>
      </w:r>
      <w:r w:rsidR="00F71E40">
        <w:rPr>
          <w:rFonts w:eastAsia="Arial Unicode MS" w:cs="Arial"/>
          <w:kern w:val="2"/>
          <w:szCs w:val="20"/>
          <w:lang w:val="en-GB"/>
        </w:rPr>
        <w:t xml:space="preserve"> combinations and on </w:t>
      </w:r>
      <w:r>
        <w:rPr>
          <w:rFonts w:eastAsia="Arial Unicode MS" w:cs="Arial"/>
          <w:kern w:val="2"/>
          <w:szCs w:val="20"/>
          <w:lang w:val="en-GB"/>
        </w:rPr>
        <w:t>the performance and coverage.</w:t>
      </w:r>
    </w:p>
    <w:p w:rsidR="005F6DCA" w:rsidRPr="001942B4" w:rsidRDefault="001942B4" w:rsidP="00061723">
      <w:pPr>
        <w:spacing w:beforeLines="50" w:afterLines="50"/>
        <w:jc w:val="both"/>
        <w:rPr>
          <w:rFonts w:eastAsia="Arial Unicode MS" w:cs="Arial"/>
          <w:kern w:val="2"/>
          <w:szCs w:val="20"/>
          <w:lang w:val="en-GB"/>
        </w:rPr>
      </w:pPr>
      <w:r w:rsidRPr="001942B4">
        <w:rPr>
          <w:rFonts w:eastAsia="Arial Unicode MS" w:cs="Arial"/>
          <w:b/>
          <w:kern w:val="2"/>
          <w:szCs w:val="20"/>
          <w:u w:val="single"/>
          <w:lang w:val="en-GB"/>
        </w:rPr>
        <w:t>A)</w:t>
      </w:r>
      <w:r>
        <w:rPr>
          <w:rFonts w:eastAsia="Arial Unicode MS" w:cs="Arial"/>
          <w:b/>
          <w:kern w:val="2"/>
          <w:szCs w:val="20"/>
          <w:u w:val="single"/>
          <w:lang w:val="en-GB"/>
        </w:rPr>
        <w:t xml:space="preserve"> </w:t>
      </w:r>
      <w:r w:rsidR="005F6DCA" w:rsidRPr="001942B4">
        <w:rPr>
          <w:rFonts w:eastAsia="Arial Unicode MS" w:cs="Arial"/>
          <w:b/>
          <w:kern w:val="2"/>
          <w:szCs w:val="20"/>
          <w:u w:val="single"/>
          <w:lang w:val="en-GB"/>
        </w:rPr>
        <w:t>Limited availability of band combinations:</w:t>
      </w:r>
      <w:r w:rsidR="005F6DCA" w:rsidRPr="001942B4">
        <w:rPr>
          <w:rFonts w:eastAsia="Arial Unicode MS" w:cs="Arial"/>
          <w:kern w:val="2"/>
          <w:szCs w:val="20"/>
          <w:lang w:val="en-GB"/>
        </w:rPr>
        <w:t xml:space="preserve"> In RAN4, it has </w:t>
      </w:r>
      <w:r w:rsidR="00D92870">
        <w:rPr>
          <w:rFonts w:eastAsia="Arial Unicode MS" w:cs="Arial"/>
          <w:kern w:val="2"/>
          <w:szCs w:val="20"/>
          <w:lang w:val="en-GB"/>
        </w:rPr>
        <w:t>been agreed that bands above 24</w:t>
      </w:r>
      <w:r w:rsidR="00C21C55" w:rsidRPr="001942B4">
        <w:rPr>
          <w:rFonts w:eastAsia="Arial Unicode MS" w:cs="Arial"/>
          <w:kern w:val="2"/>
          <w:szCs w:val="20"/>
          <w:lang w:val="en-GB"/>
        </w:rPr>
        <w:t xml:space="preserve"> G</w:t>
      </w:r>
      <w:r w:rsidR="005F6DCA" w:rsidRPr="001942B4">
        <w:rPr>
          <w:rFonts w:eastAsia="Arial Unicode MS" w:cs="Arial"/>
          <w:kern w:val="2"/>
          <w:szCs w:val="20"/>
          <w:lang w:val="en-GB"/>
        </w:rPr>
        <w:t>Hz</w:t>
      </w:r>
      <w:r w:rsidR="00D92870">
        <w:rPr>
          <w:rFonts w:eastAsia="Arial Unicode MS" w:cs="Arial"/>
          <w:kern w:val="2"/>
          <w:szCs w:val="20"/>
          <w:lang w:val="en-GB"/>
        </w:rPr>
        <w:t xml:space="preserve"> (frequency range 2)</w:t>
      </w:r>
      <w:r w:rsidR="005F6DCA" w:rsidRPr="001942B4">
        <w:rPr>
          <w:rFonts w:eastAsia="Arial Unicode MS" w:cs="Arial"/>
          <w:kern w:val="2"/>
          <w:szCs w:val="20"/>
          <w:lang w:val="en-GB"/>
        </w:rPr>
        <w:t xml:space="preserve"> need to use a sub-carrier spacing of at least 6</w:t>
      </w:r>
      <w:r w:rsidR="00C21C55" w:rsidRPr="001942B4">
        <w:rPr>
          <w:rFonts w:eastAsia="Arial Unicode MS" w:cs="Arial"/>
          <w:kern w:val="2"/>
          <w:szCs w:val="20"/>
          <w:lang w:val="en-GB"/>
        </w:rPr>
        <w:t>0 kHz (the corresponding RAN4 agreement is copied below).</w:t>
      </w:r>
      <w:r w:rsidR="005F6DCA" w:rsidRPr="001942B4">
        <w:rPr>
          <w:rFonts w:eastAsia="Arial Unicode MS" w:cs="Arial"/>
          <w:kern w:val="2"/>
          <w:szCs w:val="20"/>
          <w:lang w:val="en-GB"/>
        </w:rPr>
        <w:t xml:space="preserve"> On the other hand, the current RAN4 assumption below 1 GHz is that 15 kHz a</w:t>
      </w:r>
      <w:r w:rsidR="00B46B7D" w:rsidRPr="001942B4">
        <w:rPr>
          <w:rFonts w:eastAsia="Arial Unicode MS" w:cs="Arial"/>
          <w:kern w:val="2"/>
          <w:szCs w:val="20"/>
          <w:lang w:val="en-GB"/>
        </w:rPr>
        <w:t xml:space="preserve">nd 30 kHz are used. Thus, being </w:t>
      </w:r>
      <w:r w:rsidR="0060436E" w:rsidRPr="001942B4">
        <w:rPr>
          <w:rFonts w:eastAsia="Arial Unicode MS" w:cs="Arial"/>
          <w:kern w:val="2"/>
          <w:szCs w:val="20"/>
          <w:lang w:val="en-GB"/>
        </w:rPr>
        <w:t>forced to use a</w:t>
      </w:r>
      <w:r w:rsidR="00B46B7D" w:rsidRPr="001942B4">
        <w:rPr>
          <w:rFonts w:eastAsia="Arial Unicode MS" w:cs="Arial"/>
          <w:kern w:val="2"/>
          <w:szCs w:val="20"/>
          <w:lang w:val="en-GB"/>
        </w:rPr>
        <w:t xml:space="preserve"> common </w:t>
      </w:r>
      <w:r w:rsidR="005F6DCA" w:rsidRPr="001942B4">
        <w:rPr>
          <w:rFonts w:eastAsia="Arial Unicode MS" w:cs="Arial"/>
          <w:kern w:val="2"/>
          <w:szCs w:val="20"/>
          <w:lang w:val="en-GB"/>
        </w:rPr>
        <w:t xml:space="preserve">numerology </w:t>
      </w:r>
      <w:r w:rsidR="0060436E" w:rsidRPr="001942B4">
        <w:rPr>
          <w:rFonts w:eastAsia="Arial Unicode MS" w:cs="Arial"/>
          <w:kern w:val="2"/>
          <w:szCs w:val="20"/>
          <w:lang w:val="en-GB"/>
        </w:rPr>
        <w:t xml:space="preserve">for all CCs </w:t>
      </w:r>
      <w:r w:rsidR="005F6DCA" w:rsidRPr="001942B4">
        <w:rPr>
          <w:rFonts w:eastAsia="Arial Unicode MS" w:cs="Arial"/>
          <w:kern w:val="2"/>
          <w:szCs w:val="20"/>
          <w:lang w:val="en-GB"/>
        </w:rPr>
        <w:t>in one PUCCH group precludes band combinations of</w:t>
      </w:r>
      <w:r w:rsidR="00C21C55" w:rsidRPr="001942B4">
        <w:rPr>
          <w:rFonts w:eastAsia="Arial Unicode MS" w:cs="Arial"/>
          <w:kern w:val="2"/>
          <w:szCs w:val="20"/>
          <w:lang w:val="en-GB"/>
        </w:rPr>
        <w:t xml:space="preserve"> sub 1 </w:t>
      </w:r>
      <w:r w:rsidR="000A1450">
        <w:rPr>
          <w:rFonts w:eastAsia="Arial Unicode MS" w:cs="Arial"/>
          <w:kern w:val="2"/>
          <w:szCs w:val="20"/>
          <w:lang w:val="en-GB"/>
        </w:rPr>
        <w:t>GHz and above 24</w:t>
      </w:r>
      <w:r w:rsidR="005F6DCA" w:rsidRPr="001942B4">
        <w:rPr>
          <w:rFonts w:eastAsia="Arial Unicode MS" w:cs="Arial"/>
          <w:kern w:val="2"/>
          <w:szCs w:val="20"/>
          <w:lang w:val="en-GB"/>
        </w:rPr>
        <w:t xml:space="preserve"> GHz.</w:t>
      </w:r>
      <w:r w:rsidR="00C7592C" w:rsidRPr="001942B4">
        <w:rPr>
          <w:rFonts w:eastAsia="Arial Unicode MS" w:cs="Arial"/>
          <w:kern w:val="2"/>
          <w:szCs w:val="20"/>
          <w:lang w:val="en-GB"/>
        </w:rPr>
        <w:t xml:space="preserve"> An example would be </w:t>
      </w:r>
      <w:r w:rsidR="00D92870">
        <w:rPr>
          <w:rFonts w:eastAsia="Arial Unicode MS" w:cs="Arial"/>
          <w:kern w:val="2"/>
          <w:szCs w:val="20"/>
          <w:lang w:val="en-GB"/>
        </w:rPr>
        <w:t xml:space="preserve">the </w:t>
      </w:r>
      <w:r w:rsidR="00C7592C" w:rsidRPr="001942B4">
        <w:rPr>
          <w:rFonts w:eastAsia="Arial Unicode MS" w:cs="Arial"/>
          <w:kern w:val="2"/>
          <w:szCs w:val="20"/>
          <w:lang w:val="en-GB"/>
        </w:rPr>
        <w:t xml:space="preserve">band combination </w:t>
      </w:r>
      <w:r w:rsidR="00D92870">
        <w:rPr>
          <w:rFonts w:eastAsia="Arial Unicode MS" w:cs="Arial"/>
          <w:kern w:val="2"/>
          <w:szCs w:val="20"/>
          <w:lang w:val="en-GB"/>
        </w:rPr>
        <w:t>n</w:t>
      </w:r>
      <w:r w:rsidR="00C7592C" w:rsidRPr="001942B4">
        <w:rPr>
          <w:rFonts w:eastAsia="Arial Unicode MS" w:cs="Arial"/>
          <w:kern w:val="2"/>
          <w:szCs w:val="20"/>
          <w:lang w:val="en-GB"/>
        </w:rPr>
        <w:t>71</w:t>
      </w:r>
      <w:r w:rsidR="00D92870">
        <w:rPr>
          <w:rFonts w:eastAsia="Arial Unicode MS" w:cs="Arial"/>
          <w:kern w:val="2"/>
          <w:szCs w:val="20"/>
          <w:lang w:val="en-GB"/>
        </w:rPr>
        <w:t>+n257</w:t>
      </w:r>
      <w:r w:rsidR="00C7592C" w:rsidRPr="001942B4">
        <w:rPr>
          <w:rFonts w:eastAsia="Arial Unicode MS" w:cs="Arial"/>
          <w:kern w:val="2"/>
          <w:szCs w:val="20"/>
          <w:lang w:val="en-GB"/>
        </w:rPr>
        <w:t xml:space="preserve"> (600 MHz + 26.5-29.5 GHz)</w:t>
      </w:r>
      <w:r w:rsidR="000A1450">
        <w:rPr>
          <w:rFonts w:eastAsia="Arial Unicode MS" w:cs="Arial"/>
          <w:kern w:val="2"/>
          <w:szCs w:val="20"/>
          <w:lang w:val="en-GB"/>
        </w:rPr>
        <w:t xml:space="preserve"> which already was</w:t>
      </w:r>
      <w:r w:rsidR="0060762E" w:rsidRPr="001942B4">
        <w:rPr>
          <w:rFonts w:eastAsia="Arial Unicode MS" w:cs="Arial"/>
          <w:kern w:val="2"/>
          <w:szCs w:val="20"/>
          <w:lang w:val="en-GB"/>
        </w:rPr>
        <w:t xml:space="preserve"> agreed in RAN#77</w:t>
      </w:r>
      <w:r w:rsidR="001B5A64">
        <w:rPr>
          <w:rFonts w:eastAsia="Arial Unicode MS" w:cs="Arial"/>
          <w:kern w:val="2"/>
          <w:szCs w:val="20"/>
          <w:lang w:val="en-GB"/>
        </w:rPr>
        <w:t>.</w:t>
      </w:r>
      <w:r w:rsidR="00C7592C" w:rsidRPr="001942B4">
        <w:rPr>
          <w:rFonts w:eastAsia="Arial Unicode MS" w:cs="Arial"/>
          <w:kern w:val="2"/>
          <w:szCs w:val="20"/>
          <w:lang w:val="en-GB"/>
        </w:rPr>
        <w:t xml:space="preserve"> </w:t>
      </w:r>
    </w:p>
    <w:tbl>
      <w:tblPr>
        <w:tblStyle w:val="TableGrid"/>
        <w:tblW w:w="0" w:type="auto"/>
        <w:tblLook w:val="04A0"/>
      </w:tblPr>
      <w:tblGrid>
        <w:gridCol w:w="9242"/>
      </w:tblGrid>
      <w:tr w:rsidR="001942B4" w:rsidTr="001370AA">
        <w:tc>
          <w:tcPr>
            <w:tcW w:w="9242" w:type="dxa"/>
          </w:tcPr>
          <w:p w:rsidR="001942B4" w:rsidRDefault="001942B4" w:rsidP="00061723">
            <w:pPr>
              <w:spacing w:beforeLines="50" w:afterLines="50"/>
              <w:rPr>
                <w:rFonts w:eastAsia="Arial Unicode MS" w:cs="Arial"/>
                <w:i/>
                <w:kern w:val="2"/>
                <w:szCs w:val="20"/>
              </w:rPr>
            </w:pPr>
            <w:r w:rsidRPr="007747DB">
              <w:rPr>
                <w:rFonts w:eastAsia="Arial Unicode MS" w:cs="Arial" w:hint="eastAsia"/>
                <w:i/>
                <w:kern w:val="2"/>
                <w:szCs w:val="20"/>
                <w:highlight w:val="green"/>
              </w:rPr>
              <w:t>Agreement from RAN4</w:t>
            </w:r>
          </w:p>
          <w:p w:rsidR="001942B4" w:rsidRDefault="001942B4" w:rsidP="00061723">
            <w:pPr>
              <w:spacing w:beforeLines="50" w:afterLines="50"/>
              <w:ind w:leftChars="200" w:left="400"/>
              <w:rPr>
                <w:rFonts w:eastAsia="Arial Unicode MS" w:cs="Arial"/>
                <w:i/>
                <w:kern w:val="2"/>
                <w:szCs w:val="20"/>
              </w:rPr>
            </w:pPr>
            <w:r w:rsidRPr="00B47298">
              <w:rPr>
                <w:rFonts w:eastAsia="Arial Unicode MS" w:cs="Arial"/>
                <w:i/>
                <w:kern w:val="2"/>
                <w:szCs w:val="20"/>
              </w:rPr>
              <w:t>SCS supported for bands below 1 GHz</w:t>
            </w:r>
          </w:p>
          <w:p w:rsidR="001942B4" w:rsidRDefault="001942B4" w:rsidP="00061723">
            <w:pPr>
              <w:numPr>
                <w:ilvl w:val="1"/>
                <w:numId w:val="38"/>
              </w:numPr>
              <w:tabs>
                <w:tab w:val="clear" w:pos="1440"/>
                <w:tab w:val="num" w:pos="1840"/>
              </w:tabs>
              <w:spacing w:beforeLines="50" w:afterLines="50"/>
              <w:ind w:leftChars="540"/>
              <w:rPr>
                <w:rFonts w:eastAsia="Arial Unicode MS" w:cs="Arial"/>
                <w:i/>
                <w:kern w:val="2"/>
                <w:szCs w:val="20"/>
              </w:rPr>
            </w:pPr>
            <w:r w:rsidRPr="00B47298">
              <w:rPr>
                <w:rFonts w:eastAsia="Arial Unicode MS" w:cs="Arial"/>
                <w:i/>
                <w:kern w:val="2"/>
                <w:szCs w:val="20"/>
              </w:rPr>
              <w:t>15kHz, 30kHz</w:t>
            </w:r>
          </w:p>
          <w:p w:rsidR="001942B4" w:rsidRDefault="001942B4" w:rsidP="00061723">
            <w:pPr>
              <w:numPr>
                <w:ilvl w:val="1"/>
                <w:numId w:val="38"/>
              </w:numPr>
              <w:tabs>
                <w:tab w:val="clear" w:pos="1440"/>
                <w:tab w:val="num" w:pos="1840"/>
              </w:tabs>
              <w:spacing w:beforeLines="50" w:afterLines="50"/>
              <w:ind w:leftChars="540"/>
              <w:rPr>
                <w:rFonts w:eastAsia="Arial Unicode MS" w:cs="Arial"/>
                <w:i/>
                <w:kern w:val="2"/>
                <w:szCs w:val="20"/>
              </w:rPr>
            </w:pPr>
            <w:r w:rsidRPr="00B47298">
              <w:rPr>
                <w:rFonts w:eastAsia="Arial Unicode MS" w:cs="Arial"/>
                <w:i/>
                <w:kern w:val="2"/>
                <w:szCs w:val="20"/>
              </w:rPr>
              <w:t>The decision of supporting 60kHz is pending RAN1 check</w:t>
            </w:r>
          </w:p>
          <w:p w:rsidR="001942B4" w:rsidRDefault="001942B4" w:rsidP="00061723">
            <w:pPr>
              <w:spacing w:beforeLines="50" w:afterLines="50"/>
              <w:ind w:leftChars="200" w:left="400"/>
              <w:rPr>
                <w:rFonts w:eastAsia="Arial Unicode MS" w:cs="Arial"/>
                <w:i/>
                <w:kern w:val="2"/>
                <w:szCs w:val="20"/>
              </w:rPr>
            </w:pPr>
            <w:r w:rsidRPr="00B47298">
              <w:rPr>
                <w:rFonts w:eastAsia="Arial Unicode MS" w:cs="Arial"/>
                <w:i/>
                <w:kern w:val="2"/>
                <w:szCs w:val="20"/>
              </w:rPr>
              <w:t>SCS supported for bands between 1GHz and 6GHz</w:t>
            </w:r>
          </w:p>
          <w:p w:rsidR="001942B4" w:rsidRDefault="001942B4" w:rsidP="00061723">
            <w:pPr>
              <w:numPr>
                <w:ilvl w:val="1"/>
                <w:numId w:val="39"/>
              </w:numPr>
              <w:tabs>
                <w:tab w:val="clear" w:pos="1440"/>
                <w:tab w:val="num" w:pos="1840"/>
              </w:tabs>
              <w:spacing w:beforeLines="50" w:afterLines="50"/>
              <w:ind w:leftChars="540"/>
              <w:rPr>
                <w:rFonts w:eastAsia="Arial Unicode MS" w:cs="Arial"/>
                <w:i/>
                <w:kern w:val="2"/>
                <w:szCs w:val="20"/>
              </w:rPr>
            </w:pPr>
            <w:r w:rsidRPr="00B47298">
              <w:rPr>
                <w:rFonts w:eastAsia="Arial Unicode MS" w:cs="Arial"/>
                <w:i/>
                <w:kern w:val="2"/>
                <w:szCs w:val="20"/>
              </w:rPr>
              <w:t>15kHz, 30kHz, 60kHz</w:t>
            </w:r>
          </w:p>
          <w:p w:rsidR="001942B4" w:rsidRDefault="001942B4" w:rsidP="00061723">
            <w:pPr>
              <w:spacing w:beforeLines="50" w:afterLines="50"/>
              <w:ind w:leftChars="200" w:left="400"/>
              <w:rPr>
                <w:rFonts w:eastAsia="Arial Unicode MS" w:cs="Arial"/>
                <w:i/>
                <w:kern w:val="2"/>
                <w:szCs w:val="20"/>
              </w:rPr>
            </w:pPr>
            <w:r w:rsidRPr="00B47298">
              <w:rPr>
                <w:rFonts w:eastAsia="Arial Unicode MS" w:cs="Arial"/>
                <w:i/>
                <w:kern w:val="2"/>
                <w:szCs w:val="20"/>
              </w:rPr>
              <w:t>SCS supported for bands above 24GHz and below 52.6GHz</w:t>
            </w:r>
          </w:p>
          <w:p w:rsidR="001942B4" w:rsidRDefault="001942B4" w:rsidP="00061723">
            <w:pPr>
              <w:numPr>
                <w:ilvl w:val="1"/>
                <w:numId w:val="40"/>
              </w:numPr>
              <w:tabs>
                <w:tab w:val="clear" w:pos="1440"/>
                <w:tab w:val="num" w:pos="1840"/>
              </w:tabs>
              <w:spacing w:beforeLines="50" w:afterLines="50"/>
              <w:ind w:leftChars="540"/>
              <w:rPr>
                <w:rFonts w:eastAsia="Arial Unicode MS" w:cs="Arial"/>
                <w:i/>
                <w:kern w:val="2"/>
                <w:szCs w:val="20"/>
              </w:rPr>
            </w:pPr>
            <w:r w:rsidRPr="00B47298">
              <w:rPr>
                <w:rFonts w:eastAsia="Arial Unicode MS" w:cs="Arial"/>
                <w:i/>
                <w:kern w:val="2"/>
                <w:szCs w:val="20"/>
              </w:rPr>
              <w:t>60 kHz, 120kHz</w:t>
            </w:r>
          </w:p>
          <w:p w:rsidR="001942B4" w:rsidRDefault="001942B4" w:rsidP="00061723">
            <w:pPr>
              <w:numPr>
                <w:ilvl w:val="1"/>
                <w:numId w:val="40"/>
              </w:numPr>
              <w:tabs>
                <w:tab w:val="clear" w:pos="1440"/>
                <w:tab w:val="num" w:pos="1840"/>
              </w:tabs>
              <w:spacing w:beforeLines="50" w:afterLines="50"/>
              <w:ind w:leftChars="540"/>
              <w:rPr>
                <w:rFonts w:eastAsia="Arial Unicode MS" w:cs="Arial"/>
                <w:i/>
                <w:kern w:val="2"/>
                <w:szCs w:val="20"/>
              </w:rPr>
            </w:pPr>
            <w:r w:rsidRPr="00B47298">
              <w:rPr>
                <w:rFonts w:eastAsia="Arial Unicode MS" w:cs="Arial"/>
                <w:i/>
                <w:kern w:val="2"/>
                <w:szCs w:val="20"/>
              </w:rPr>
              <w:t>240kHz is not applicable for data</w:t>
            </w:r>
          </w:p>
          <w:p w:rsidR="001942B4" w:rsidRDefault="001942B4" w:rsidP="00061723">
            <w:pPr>
              <w:numPr>
                <w:ilvl w:val="2"/>
                <w:numId w:val="40"/>
              </w:numPr>
              <w:tabs>
                <w:tab w:val="clear" w:pos="2160"/>
                <w:tab w:val="num" w:pos="2560"/>
              </w:tabs>
              <w:spacing w:beforeLines="50" w:afterLines="50"/>
              <w:ind w:leftChars="1100" w:left="2560"/>
              <w:rPr>
                <w:rFonts w:eastAsia="Arial Unicode MS" w:cs="Arial"/>
                <w:i/>
                <w:kern w:val="2"/>
                <w:szCs w:val="20"/>
              </w:rPr>
            </w:pPr>
            <w:r w:rsidRPr="00B47298">
              <w:rPr>
                <w:rFonts w:eastAsia="Arial Unicode MS" w:cs="Arial"/>
                <w:i/>
                <w:kern w:val="2"/>
                <w:szCs w:val="20"/>
              </w:rPr>
              <w:t>240 for data can be further considered if a clear benefit is shown</w:t>
            </w:r>
          </w:p>
        </w:tc>
      </w:tr>
    </w:tbl>
    <w:p w:rsidR="00316AC3" w:rsidRDefault="00316AC3" w:rsidP="00061723">
      <w:pPr>
        <w:spacing w:beforeLines="50" w:afterLines="50"/>
        <w:jc w:val="both"/>
        <w:rPr>
          <w:rFonts w:eastAsia="Arial Unicode MS" w:cs="Arial"/>
          <w:b/>
          <w:i/>
          <w:kern w:val="2"/>
          <w:szCs w:val="20"/>
          <w:u w:val="single"/>
          <w:lang w:val="en-GB"/>
        </w:rPr>
      </w:pPr>
    </w:p>
    <w:p w:rsidR="001942B4" w:rsidRPr="00EE59AD" w:rsidRDefault="001942B4" w:rsidP="00061723">
      <w:pPr>
        <w:spacing w:beforeLines="50" w:afterLines="50"/>
        <w:jc w:val="both"/>
        <w:rPr>
          <w:rFonts w:eastAsia="Arial Unicode MS" w:cs="Arial"/>
          <w:kern w:val="2"/>
          <w:szCs w:val="20"/>
          <w:lang w:val="en-GB"/>
        </w:rPr>
      </w:pPr>
      <w:r>
        <w:rPr>
          <w:rFonts w:eastAsia="Arial Unicode MS" w:cs="Arial"/>
          <w:b/>
          <w:i/>
          <w:kern w:val="2"/>
          <w:szCs w:val="20"/>
          <w:u w:val="single"/>
          <w:lang w:val="en-GB"/>
        </w:rPr>
        <w:t>Observation 2</w:t>
      </w:r>
      <w:r w:rsidRPr="00D60342">
        <w:rPr>
          <w:rFonts w:eastAsia="Arial Unicode MS" w:cs="Arial"/>
          <w:b/>
          <w:i/>
          <w:kern w:val="2"/>
          <w:szCs w:val="20"/>
          <w:u w:val="single"/>
          <w:lang w:val="en-GB"/>
        </w:rPr>
        <w:t>:</w:t>
      </w:r>
      <w:r w:rsidRPr="00D60342">
        <w:rPr>
          <w:rFonts w:eastAsia="Arial Unicode MS" w:cs="Arial"/>
          <w:b/>
          <w:i/>
          <w:kern w:val="2"/>
          <w:szCs w:val="20"/>
          <w:lang w:val="en-GB"/>
        </w:rPr>
        <w:t xml:space="preserve"> </w:t>
      </w:r>
      <w:r>
        <w:rPr>
          <w:rFonts w:eastAsia="Arial Unicode MS" w:cs="Arial"/>
          <w:b/>
          <w:i/>
          <w:kern w:val="2"/>
          <w:szCs w:val="20"/>
          <w:lang w:val="en-GB"/>
        </w:rPr>
        <w:t>With the current RAN4 agreements and assumptions, being forced using the same numerology in all CCs precludes band co</w:t>
      </w:r>
      <w:r w:rsidR="00E515E0">
        <w:rPr>
          <w:rFonts w:eastAsia="Arial Unicode MS" w:cs="Arial"/>
          <w:b/>
          <w:i/>
          <w:kern w:val="2"/>
          <w:szCs w:val="20"/>
          <w:lang w:val="en-GB"/>
        </w:rPr>
        <w:t>mbinations below 1 GHz + above 24</w:t>
      </w:r>
      <w:r>
        <w:rPr>
          <w:rFonts w:eastAsia="Arial Unicode MS" w:cs="Arial"/>
          <w:b/>
          <w:i/>
          <w:kern w:val="2"/>
          <w:szCs w:val="20"/>
          <w:lang w:val="en-GB"/>
        </w:rPr>
        <w:t xml:space="preserve"> GHz.</w:t>
      </w:r>
    </w:p>
    <w:p w:rsidR="00F179E8" w:rsidRPr="00B46B7D" w:rsidRDefault="00B93D32" w:rsidP="00061723">
      <w:pPr>
        <w:spacing w:beforeLines="50" w:afterLines="50"/>
        <w:jc w:val="both"/>
        <w:rPr>
          <w:rFonts w:eastAsia="Arial Unicode MS" w:cs="Arial"/>
          <w:b/>
          <w:i/>
          <w:kern w:val="2"/>
          <w:szCs w:val="20"/>
          <w:lang w:val="en-GB"/>
        </w:rPr>
      </w:pPr>
      <w:r>
        <w:rPr>
          <w:rFonts w:eastAsia="Arial Unicode MS" w:cs="Arial"/>
          <w:b/>
          <w:kern w:val="2"/>
          <w:szCs w:val="20"/>
          <w:u w:val="single"/>
          <w:lang w:val="en-GB"/>
        </w:rPr>
        <w:t xml:space="preserve">B) </w:t>
      </w:r>
      <w:r w:rsidR="005F6DCA" w:rsidRPr="00EE59AD">
        <w:rPr>
          <w:rFonts w:eastAsia="Arial Unicode MS" w:cs="Arial"/>
          <w:b/>
          <w:kern w:val="2"/>
          <w:szCs w:val="20"/>
          <w:u w:val="single"/>
          <w:lang w:val="en-GB"/>
        </w:rPr>
        <w:t>Performance and Coverage:</w:t>
      </w:r>
      <w:r w:rsidR="00C7592C" w:rsidRPr="00EE59AD">
        <w:rPr>
          <w:rFonts w:eastAsia="Arial Unicode MS" w:cs="Arial"/>
          <w:kern w:val="2"/>
          <w:szCs w:val="20"/>
          <w:lang w:val="en-GB"/>
        </w:rPr>
        <w:t xml:space="preserve"> </w:t>
      </w:r>
      <w:r w:rsidR="00B46B7D" w:rsidRPr="00EE59AD">
        <w:rPr>
          <w:rFonts w:eastAsia="Arial Unicode MS" w:cs="Arial"/>
          <w:kern w:val="2"/>
          <w:szCs w:val="20"/>
          <w:lang w:val="en-GB"/>
        </w:rPr>
        <w:t>B</w:t>
      </w:r>
      <w:r w:rsidR="00C7592C" w:rsidRPr="00EE59AD">
        <w:rPr>
          <w:rFonts w:eastAsia="Arial Unicode MS" w:cs="Arial"/>
          <w:kern w:val="2"/>
          <w:szCs w:val="20"/>
          <w:lang w:val="en-GB"/>
        </w:rPr>
        <w:t>and combination</w:t>
      </w:r>
      <w:r w:rsidR="00C21C55" w:rsidRPr="00EE59AD">
        <w:rPr>
          <w:rFonts w:eastAsia="Arial Unicode MS" w:cs="Arial"/>
          <w:kern w:val="2"/>
          <w:szCs w:val="20"/>
          <w:lang w:val="en-GB"/>
        </w:rPr>
        <w:t>s</w:t>
      </w:r>
      <w:r w:rsidR="00C7592C" w:rsidRPr="00EE59AD">
        <w:rPr>
          <w:rFonts w:eastAsia="Arial Unicode MS" w:cs="Arial"/>
          <w:kern w:val="2"/>
          <w:szCs w:val="20"/>
          <w:lang w:val="en-GB"/>
        </w:rPr>
        <w:t xml:space="preserve"> </w:t>
      </w:r>
      <w:r w:rsidR="001B5A64">
        <w:rPr>
          <w:rFonts w:eastAsia="Arial Unicode MS" w:cs="Arial"/>
          <w:kern w:val="2"/>
          <w:szCs w:val="20"/>
          <w:lang w:val="en-GB"/>
        </w:rPr>
        <w:t xml:space="preserve">below 6 GHz </w:t>
      </w:r>
      <w:r w:rsidR="00C7592C" w:rsidRPr="00EE59AD">
        <w:rPr>
          <w:rFonts w:eastAsia="Arial Unicode MS" w:cs="Arial"/>
          <w:kern w:val="2"/>
          <w:szCs w:val="20"/>
          <w:lang w:val="en-GB"/>
        </w:rPr>
        <w:t>are</w:t>
      </w:r>
      <w:r w:rsidR="00C21C55" w:rsidRPr="00EE59AD">
        <w:rPr>
          <w:rFonts w:eastAsia="Arial Unicode MS" w:cs="Arial"/>
          <w:kern w:val="2"/>
          <w:szCs w:val="20"/>
          <w:lang w:val="en-GB"/>
        </w:rPr>
        <w:t xml:space="preserve"> </w:t>
      </w:r>
      <w:r w:rsidR="00B46B7D" w:rsidRPr="00EE59AD">
        <w:rPr>
          <w:rFonts w:eastAsia="Arial Unicode MS" w:cs="Arial"/>
          <w:kern w:val="2"/>
          <w:szCs w:val="20"/>
          <w:lang w:val="en-GB"/>
        </w:rPr>
        <w:t xml:space="preserve">in theory </w:t>
      </w:r>
      <w:r w:rsidR="00C21C55" w:rsidRPr="00EE59AD">
        <w:rPr>
          <w:rFonts w:eastAsia="Arial Unicode MS" w:cs="Arial"/>
          <w:kern w:val="2"/>
          <w:szCs w:val="20"/>
          <w:lang w:val="en-GB"/>
        </w:rPr>
        <w:t>still</w:t>
      </w:r>
      <w:r w:rsidR="00C7592C" w:rsidRPr="00EE59AD">
        <w:rPr>
          <w:rFonts w:eastAsia="Arial Unicode MS" w:cs="Arial"/>
          <w:kern w:val="2"/>
          <w:szCs w:val="20"/>
          <w:lang w:val="en-GB"/>
        </w:rPr>
        <w:t xml:space="preserve"> supported </w:t>
      </w:r>
      <w:r w:rsidR="00C21C55" w:rsidRPr="00EE59AD">
        <w:rPr>
          <w:rFonts w:eastAsia="Arial Unicode MS" w:cs="Arial"/>
          <w:kern w:val="2"/>
          <w:szCs w:val="20"/>
          <w:lang w:val="en-GB"/>
        </w:rPr>
        <w:t xml:space="preserve">with the same numerology </w:t>
      </w:r>
      <w:r w:rsidR="00C7592C" w:rsidRPr="00EE59AD">
        <w:rPr>
          <w:rFonts w:eastAsia="Arial Unicode MS" w:cs="Arial"/>
          <w:kern w:val="2"/>
          <w:szCs w:val="20"/>
          <w:lang w:val="en-GB"/>
        </w:rPr>
        <w:t xml:space="preserve">according </w:t>
      </w:r>
      <w:r w:rsidR="00335EFC">
        <w:rPr>
          <w:rFonts w:eastAsia="Arial Unicode MS" w:cs="Arial"/>
          <w:kern w:val="2"/>
          <w:szCs w:val="20"/>
          <w:lang w:val="en-GB"/>
        </w:rPr>
        <w:t xml:space="preserve">to </w:t>
      </w:r>
      <w:r w:rsidR="00C7592C" w:rsidRPr="00EE59AD">
        <w:rPr>
          <w:rFonts w:eastAsia="Arial Unicode MS" w:cs="Arial"/>
          <w:kern w:val="2"/>
          <w:szCs w:val="20"/>
          <w:lang w:val="en-GB"/>
        </w:rPr>
        <w:t>the RAN4 agreement</w:t>
      </w:r>
      <w:r w:rsidR="00335EFC">
        <w:rPr>
          <w:rFonts w:eastAsia="Arial Unicode MS" w:cs="Arial"/>
          <w:kern w:val="2"/>
          <w:szCs w:val="20"/>
          <w:lang w:val="en-GB"/>
        </w:rPr>
        <w:t xml:space="preserve"> above</w:t>
      </w:r>
      <w:r w:rsidR="00C7592C" w:rsidRPr="00EE59AD">
        <w:rPr>
          <w:rFonts w:eastAsia="Arial Unicode MS" w:cs="Arial"/>
          <w:kern w:val="2"/>
          <w:szCs w:val="20"/>
          <w:lang w:val="en-GB"/>
        </w:rPr>
        <w:t>. However,</w:t>
      </w:r>
      <w:r w:rsidR="00C21C55" w:rsidRPr="00EE59AD">
        <w:rPr>
          <w:rFonts w:eastAsia="Arial Unicode MS" w:cs="Arial"/>
          <w:kern w:val="2"/>
          <w:szCs w:val="20"/>
          <w:lang w:val="en-GB"/>
        </w:rPr>
        <w:t xml:space="preserve"> </w:t>
      </w:r>
      <w:r w:rsidR="00996278" w:rsidRPr="00EE59AD">
        <w:rPr>
          <w:rFonts w:eastAsia="Arial Unicode MS" w:cs="Arial"/>
          <w:kern w:val="2"/>
          <w:szCs w:val="20"/>
          <w:lang w:val="en-GB"/>
        </w:rPr>
        <w:t xml:space="preserve">in practice, </w:t>
      </w:r>
      <w:r w:rsidR="00C21C55" w:rsidRPr="00EE59AD">
        <w:rPr>
          <w:rFonts w:eastAsia="Arial Unicode MS" w:cs="Arial"/>
          <w:kern w:val="2"/>
          <w:szCs w:val="20"/>
          <w:lang w:val="en-GB"/>
        </w:rPr>
        <w:t xml:space="preserve">the performance and coverage loss is significant if </w:t>
      </w:r>
      <w:r>
        <w:rPr>
          <w:rFonts w:eastAsia="Arial Unicode MS" w:cs="Arial"/>
          <w:kern w:val="2"/>
          <w:szCs w:val="20"/>
          <w:lang w:val="en-GB"/>
        </w:rPr>
        <w:t xml:space="preserve">always </w:t>
      </w:r>
      <w:r w:rsidR="00C21C55" w:rsidRPr="00EE59AD">
        <w:rPr>
          <w:rFonts w:eastAsia="Arial Unicode MS" w:cs="Arial"/>
          <w:kern w:val="2"/>
          <w:szCs w:val="20"/>
          <w:lang w:val="en-GB"/>
        </w:rPr>
        <w:t>the same</w:t>
      </w:r>
      <w:r w:rsidR="00F71E40" w:rsidRPr="00EE59AD">
        <w:rPr>
          <w:rFonts w:eastAsia="Arial Unicode MS" w:cs="Arial"/>
          <w:kern w:val="2"/>
          <w:szCs w:val="20"/>
          <w:lang w:val="en-GB"/>
        </w:rPr>
        <w:t xml:space="preserve"> numero</w:t>
      </w:r>
      <w:r>
        <w:rPr>
          <w:rFonts w:eastAsia="Arial Unicode MS" w:cs="Arial"/>
          <w:kern w:val="2"/>
          <w:szCs w:val="20"/>
          <w:lang w:val="en-GB"/>
        </w:rPr>
        <w:t>logy has to be</w:t>
      </w:r>
      <w:r w:rsidR="00F71E40" w:rsidRPr="00EE59AD">
        <w:rPr>
          <w:rFonts w:eastAsia="Arial Unicode MS" w:cs="Arial"/>
          <w:kern w:val="2"/>
          <w:szCs w:val="20"/>
          <w:lang w:val="en-GB"/>
        </w:rPr>
        <w:t xml:space="preserve"> used for all CCs</w:t>
      </w:r>
      <w:r w:rsidR="00C21C55" w:rsidRPr="00EE59AD">
        <w:rPr>
          <w:rFonts w:eastAsia="Arial Unicode MS" w:cs="Arial"/>
          <w:kern w:val="2"/>
          <w:szCs w:val="20"/>
          <w:lang w:val="en-GB"/>
        </w:rPr>
        <w:t xml:space="preserve">. </w:t>
      </w:r>
      <w:r w:rsidR="00B46B7D" w:rsidRPr="00EE59AD">
        <w:rPr>
          <w:rFonts w:eastAsia="Arial Unicode MS" w:cs="Arial"/>
          <w:kern w:val="2"/>
          <w:szCs w:val="20"/>
          <w:lang w:val="en-GB"/>
        </w:rPr>
        <w:t xml:space="preserve">The high frequency band typically </w:t>
      </w:r>
      <w:r w:rsidR="00B46B7D" w:rsidRPr="00EE59AD">
        <w:rPr>
          <w:rFonts w:eastAsia="Arial Unicode MS" w:cs="Arial"/>
          <w:kern w:val="2"/>
          <w:szCs w:val="20"/>
          <w:lang w:val="en-GB"/>
        </w:rPr>
        <w:lastRenderedPageBreak/>
        <w:t>needs a larger SCS than the low frequency band. This is explained in</w:t>
      </w:r>
      <w:r w:rsidR="00C21C55" w:rsidRPr="00EE59AD">
        <w:rPr>
          <w:rFonts w:eastAsia="Arial Unicode MS" w:cs="Arial"/>
          <w:kern w:val="2"/>
          <w:szCs w:val="20"/>
          <w:lang w:val="en-GB"/>
        </w:rPr>
        <w:t xml:space="preserve"> detail in the following section</w:t>
      </w:r>
      <w:r w:rsidR="00996278" w:rsidRPr="00EE59AD">
        <w:rPr>
          <w:rFonts w:eastAsia="Arial Unicode MS" w:cs="Arial"/>
          <w:kern w:val="2"/>
          <w:szCs w:val="20"/>
          <w:lang w:val="en-GB"/>
        </w:rPr>
        <w:t>s 3 and</w:t>
      </w:r>
      <w:r w:rsidR="009661EE" w:rsidRPr="00EE59AD">
        <w:rPr>
          <w:rFonts w:eastAsia="Arial Unicode MS" w:cs="Arial"/>
          <w:kern w:val="2"/>
          <w:szCs w:val="20"/>
          <w:lang w:val="en-GB"/>
        </w:rPr>
        <w:t xml:space="preserve"> 4</w:t>
      </w:r>
      <w:r w:rsidR="00A30ED9" w:rsidRPr="00EE59AD">
        <w:rPr>
          <w:rFonts w:eastAsia="Arial Unicode MS" w:cs="Arial"/>
          <w:kern w:val="2"/>
          <w:szCs w:val="20"/>
          <w:lang w:val="en-GB"/>
        </w:rPr>
        <w:t xml:space="preserve"> </w:t>
      </w:r>
      <w:r w:rsidR="009661EE" w:rsidRPr="00EE59AD">
        <w:rPr>
          <w:rFonts w:eastAsia="Arial Unicode MS" w:cs="Arial"/>
          <w:kern w:val="2"/>
          <w:szCs w:val="20"/>
          <w:lang w:val="en-GB"/>
        </w:rPr>
        <w:t xml:space="preserve">where sub-carrier spacings of 15 kHz and 30 kHz </w:t>
      </w:r>
      <w:r w:rsidR="00A30ED9" w:rsidRPr="00EE59AD">
        <w:rPr>
          <w:rFonts w:eastAsia="Arial Unicode MS" w:cs="Arial"/>
          <w:kern w:val="2"/>
          <w:szCs w:val="20"/>
          <w:lang w:val="en-GB"/>
        </w:rPr>
        <w:t>are compare</w:t>
      </w:r>
      <w:r w:rsidR="00F71E40" w:rsidRPr="00EE59AD">
        <w:rPr>
          <w:rFonts w:eastAsia="Arial Unicode MS" w:cs="Arial"/>
          <w:kern w:val="2"/>
          <w:szCs w:val="20"/>
          <w:lang w:val="en-GB"/>
        </w:rPr>
        <w:t>d</w:t>
      </w:r>
      <w:r w:rsidR="00B46B7D" w:rsidRPr="00EE59AD">
        <w:rPr>
          <w:rFonts w:eastAsia="Arial Unicode MS" w:cs="Arial"/>
          <w:kern w:val="2"/>
          <w:szCs w:val="20"/>
          <w:lang w:val="en-GB"/>
        </w:rPr>
        <w:t>.</w:t>
      </w:r>
      <w:r w:rsidR="00996278" w:rsidRPr="00EE59AD">
        <w:rPr>
          <w:rFonts w:eastAsia="Arial Unicode MS" w:cs="Arial"/>
          <w:kern w:val="2"/>
          <w:szCs w:val="20"/>
          <w:lang w:val="en-GB"/>
        </w:rPr>
        <w:t xml:space="preserve"> As an example the 700 MHz and 3.5 GHz are chosen, but s</w:t>
      </w:r>
      <w:r w:rsidR="00C7592C" w:rsidRPr="00EE59AD">
        <w:rPr>
          <w:rFonts w:eastAsia="Arial Unicode MS" w:cs="Arial"/>
          <w:kern w:val="2"/>
          <w:szCs w:val="20"/>
          <w:lang w:val="en-GB"/>
        </w:rPr>
        <w:t xml:space="preserve">imilar results are </w:t>
      </w:r>
      <w:r w:rsidR="00A30ED9" w:rsidRPr="00EE59AD">
        <w:rPr>
          <w:rFonts w:eastAsia="Arial Unicode MS" w:cs="Arial"/>
          <w:kern w:val="2"/>
          <w:szCs w:val="20"/>
          <w:lang w:val="en-GB"/>
        </w:rPr>
        <w:t xml:space="preserve">of course </w:t>
      </w:r>
      <w:r w:rsidR="00C7592C" w:rsidRPr="00EE59AD">
        <w:rPr>
          <w:rFonts w:eastAsia="Arial Unicode MS" w:cs="Arial"/>
          <w:kern w:val="2"/>
          <w:szCs w:val="20"/>
          <w:lang w:val="en-GB"/>
        </w:rPr>
        <w:t>e</w:t>
      </w:r>
      <w:r w:rsidR="001B5A64">
        <w:rPr>
          <w:rFonts w:eastAsia="Arial Unicode MS" w:cs="Arial"/>
          <w:kern w:val="2"/>
          <w:szCs w:val="20"/>
          <w:lang w:val="en-GB"/>
        </w:rPr>
        <w:t>xpected for other band combinations</w:t>
      </w:r>
      <w:r w:rsidR="00C7592C" w:rsidRPr="00EE59AD">
        <w:rPr>
          <w:rFonts w:eastAsia="Arial Unicode MS" w:cs="Arial"/>
          <w:kern w:val="2"/>
          <w:szCs w:val="20"/>
          <w:lang w:val="en-GB"/>
        </w:rPr>
        <w:t xml:space="preserve"> as well. In general, at lower frequency, a smaller sub-carrier spacing is needed in order provide sufficient protection against the channel delay spread.</w:t>
      </w:r>
    </w:p>
    <w:p w:rsidR="00490250" w:rsidRDefault="00B46B7D" w:rsidP="00153A0B">
      <w:pPr>
        <w:pStyle w:val="Heading2"/>
        <w:numPr>
          <w:ilvl w:val="0"/>
          <w:numId w:val="12"/>
        </w:numPr>
        <w:spacing w:before="60" w:after="60"/>
        <w:ind w:hanging="644"/>
      </w:pPr>
      <w:bookmarkStart w:id="6" w:name="OLE_LINK71"/>
      <w:bookmarkStart w:id="7" w:name="OLE_LINK72"/>
      <w:bookmarkEnd w:id="4"/>
      <w:bookmarkEnd w:id="5"/>
      <w:r>
        <w:t>U</w:t>
      </w:r>
      <w:r w:rsidR="00490250">
        <w:t>se</w:t>
      </w:r>
      <w:r w:rsidR="001C2314">
        <w:t xml:space="preserve"> case exa</w:t>
      </w:r>
      <w:r w:rsidR="00490250">
        <w:t>mple for carrier aggregation</w:t>
      </w:r>
    </w:p>
    <w:p w:rsidR="00523FDC" w:rsidRDefault="00490250" w:rsidP="00490250">
      <w:pPr>
        <w:rPr>
          <w:lang w:val="en-GB" w:eastAsia="en-US"/>
        </w:rPr>
      </w:pPr>
      <w:r>
        <w:rPr>
          <w:lang w:val="en-GB" w:eastAsia="en-US"/>
        </w:rPr>
        <w:t xml:space="preserve">An attractive </w:t>
      </w:r>
      <w:r w:rsidR="006E7CB3">
        <w:rPr>
          <w:lang w:val="en-GB" w:eastAsia="en-US"/>
        </w:rPr>
        <w:t xml:space="preserve">and well recognized </w:t>
      </w:r>
      <w:r>
        <w:rPr>
          <w:lang w:val="en-GB" w:eastAsia="en-US"/>
        </w:rPr>
        <w:t>scenario for NR carrier aggregation</w:t>
      </w:r>
      <w:r w:rsidR="001C2314">
        <w:rPr>
          <w:lang w:val="en-GB" w:eastAsia="en-US"/>
        </w:rPr>
        <w:t xml:space="preserve"> is to use</w:t>
      </w:r>
      <w:r w:rsidR="00F71E40">
        <w:rPr>
          <w:lang w:val="en-GB" w:eastAsia="en-US"/>
        </w:rPr>
        <w:t xml:space="preserve"> 2DL CCs and one 1 UL CC. One </w:t>
      </w:r>
      <w:r w:rsidR="009661EE">
        <w:rPr>
          <w:lang w:val="en-GB" w:eastAsia="en-US"/>
        </w:rPr>
        <w:t xml:space="preserve">example configuration could </w:t>
      </w:r>
      <w:r w:rsidR="00996278">
        <w:rPr>
          <w:lang w:val="en-GB" w:eastAsia="en-US"/>
        </w:rPr>
        <w:t xml:space="preserve">be </w:t>
      </w:r>
      <w:r w:rsidR="009661EE">
        <w:rPr>
          <w:lang w:val="en-GB" w:eastAsia="en-US"/>
        </w:rPr>
        <w:t xml:space="preserve">to operate the UL on F1=700 MHz (n28) </w:t>
      </w:r>
      <w:r w:rsidR="00C93201">
        <w:rPr>
          <w:lang w:val="en-GB" w:eastAsia="en-US"/>
        </w:rPr>
        <w:t>and the DL on F1 and F2 = 3.5 GHz (n78).</w:t>
      </w:r>
    </w:p>
    <w:p w:rsidR="00C93201" w:rsidRDefault="00C93201" w:rsidP="00490250">
      <w:pPr>
        <w:rPr>
          <w:lang w:val="en-GB" w:eastAsia="en-US"/>
        </w:rPr>
      </w:pPr>
    </w:p>
    <w:p w:rsidR="00523FDC" w:rsidRDefault="006E7CB3" w:rsidP="006E7CB3">
      <w:pPr>
        <w:rPr>
          <w:lang w:val="en-GB" w:eastAsia="en-US"/>
        </w:rPr>
      </w:pPr>
      <w:r w:rsidRPr="00523FDC">
        <w:rPr>
          <w:lang w:val="en-GB" w:eastAsia="en-US"/>
        </w:rPr>
        <w:t xml:space="preserve">The high frequency band will mainly </w:t>
      </w:r>
      <w:r w:rsidR="00C93201">
        <w:rPr>
          <w:lang w:val="en-GB" w:eastAsia="en-US"/>
        </w:rPr>
        <w:t>be used to provide capacity boo</w:t>
      </w:r>
      <w:r w:rsidRPr="00523FDC">
        <w:rPr>
          <w:lang w:val="en-GB" w:eastAsia="en-US"/>
        </w:rPr>
        <w:t>s</w:t>
      </w:r>
      <w:r w:rsidR="00C93201">
        <w:rPr>
          <w:lang w:val="en-GB" w:eastAsia="en-US"/>
        </w:rPr>
        <w:t>ts</w:t>
      </w:r>
      <w:r w:rsidRPr="00523FDC">
        <w:rPr>
          <w:lang w:val="en-GB" w:eastAsia="en-US"/>
        </w:rPr>
        <w:t xml:space="preserve"> and low latency in hot spots whereas the low frequen</w:t>
      </w:r>
      <w:r w:rsidR="00C93201">
        <w:rPr>
          <w:lang w:val="en-GB" w:eastAsia="en-US"/>
        </w:rPr>
        <w:t>cy contributes with coverage but also with reasonable capacity</w:t>
      </w:r>
      <w:r w:rsidRPr="00523FDC">
        <w:rPr>
          <w:lang w:val="en-GB" w:eastAsia="en-US"/>
        </w:rPr>
        <w:t xml:space="preserve">. </w:t>
      </w:r>
      <w:r>
        <w:rPr>
          <w:lang w:val="en-GB" w:eastAsia="en-US"/>
        </w:rPr>
        <w:t xml:space="preserve">As it is illustrated in Figure 1 below, the coverage of the high frequency band will not be contiguous, especially not during the network roll-out. Therefore, </w:t>
      </w:r>
      <w:r w:rsidR="00523FDC">
        <w:rPr>
          <w:lang w:val="en-GB" w:eastAsia="en-US"/>
        </w:rPr>
        <w:t>also the</w:t>
      </w:r>
      <w:r>
        <w:rPr>
          <w:lang w:val="en-GB" w:eastAsia="en-US"/>
        </w:rPr>
        <w:t xml:space="preserve"> low frequency must also be able to </w:t>
      </w:r>
      <w:r w:rsidR="00523FDC">
        <w:rPr>
          <w:lang w:val="en-GB" w:eastAsia="en-US"/>
        </w:rPr>
        <w:t xml:space="preserve">provide </w:t>
      </w:r>
      <w:r>
        <w:rPr>
          <w:lang w:val="en-GB" w:eastAsia="en-US"/>
        </w:rPr>
        <w:t>data capacity and the possibility for low latency</w:t>
      </w:r>
      <w:r w:rsidR="00C93201">
        <w:rPr>
          <w:lang w:val="en-GB" w:eastAsia="en-US"/>
        </w:rPr>
        <w:t xml:space="preserve"> services</w:t>
      </w:r>
      <w:r>
        <w:rPr>
          <w:lang w:val="en-GB" w:eastAsia="en-US"/>
        </w:rPr>
        <w:t xml:space="preserve">. </w:t>
      </w:r>
    </w:p>
    <w:p w:rsidR="00523FDC" w:rsidRDefault="00523FDC" w:rsidP="006E7CB3">
      <w:pPr>
        <w:rPr>
          <w:lang w:val="en-GB" w:eastAsia="en-US"/>
        </w:rPr>
      </w:pPr>
    </w:p>
    <w:p w:rsidR="006E7CB3" w:rsidRPr="00936AEF" w:rsidRDefault="006E7CB3" w:rsidP="006E7CB3">
      <w:pPr>
        <w:rPr>
          <w:lang w:val="en-GB" w:eastAsia="en-US"/>
        </w:rPr>
      </w:pPr>
      <w:r>
        <w:rPr>
          <w:lang w:val="en-GB" w:eastAsia="en-US"/>
        </w:rPr>
        <w:t>The high frequency band must employ a sub-carrier spacing of 30 kHz in order achieve low latency and sufficient pr</w:t>
      </w:r>
      <w:r w:rsidR="00996278">
        <w:rPr>
          <w:lang w:val="en-GB" w:eastAsia="en-US"/>
        </w:rPr>
        <w:t>otection against phase noise ([3</w:t>
      </w:r>
      <w:r>
        <w:rPr>
          <w:lang w:val="en-GB" w:eastAsia="en-US"/>
        </w:rPr>
        <w:t xml:space="preserve">]). Using a higher SCS </w:t>
      </w:r>
      <w:r w:rsidR="00523FDC">
        <w:rPr>
          <w:lang w:val="en-GB" w:eastAsia="en-US"/>
        </w:rPr>
        <w:t xml:space="preserve">in </w:t>
      </w:r>
      <w:r>
        <w:rPr>
          <w:lang w:val="en-GB" w:eastAsia="en-US"/>
        </w:rPr>
        <w:t xml:space="preserve">this </w:t>
      </w:r>
      <w:r w:rsidR="00523FDC">
        <w:rPr>
          <w:lang w:val="en-GB" w:eastAsia="en-US"/>
        </w:rPr>
        <w:t>band</w:t>
      </w:r>
      <w:r w:rsidR="00996278">
        <w:rPr>
          <w:lang w:val="en-GB" w:eastAsia="en-US"/>
        </w:rPr>
        <w:t xml:space="preserve"> </w:t>
      </w:r>
      <w:r>
        <w:rPr>
          <w:lang w:val="en-GB" w:eastAsia="en-US"/>
        </w:rPr>
        <w:t xml:space="preserve">is </w:t>
      </w:r>
      <w:r w:rsidR="00996278">
        <w:rPr>
          <w:lang w:val="en-GB" w:eastAsia="en-US"/>
        </w:rPr>
        <w:t xml:space="preserve">also </w:t>
      </w:r>
      <w:r>
        <w:rPr>
          <w:lang w:val="en-GB" w:eastAsia="en-US"/>
        </w:rPr>
        <w:t xml:space="preserve">beneficial for implementation since it reduces the number of required FFT points by half. </w:t>
      </w:r>
      <w:r w:rsidR="00523FDC">
        <w:rPr>
          <w:lang w:val="en-GB" w:eastAsia="en-US"/>
        </w:rPr>
        <w:t xml:space="preserve">In the next part of the contribution it is therefore focused on the low frequency band, and it is investigated whether 15 kHz </w:t>
      </w:r>
      <w:r w:rsidR="00CE2E0B">
        <w:rPr>
          <w:lang w:val="en-GB" w:eastAsia="en-US"/>
        </w:rPr>
        <w:t>or 30 kHz should be used as</w:t>
      </w:r>
      <w:r w:rsidR="00523FDC">
        <w:rPr>
          <w:lang w:val="en-GB" w:eastAsia="en-US"/>
        </w:rPr>
        <w:t xml:space="preserve"> sub-carrier spacing</w:t>
      </w:r>
      <w:r w:rsidR="00C93201">
        <w:rPr>
          <w:lang w:val="en-GB" w:eastAsia="en-US"/>
        </w:rPr>
        <w:t>.</w:t>
      </w:r>
    </w:p>
    <w:p w:rsidR="00C63E2D" w:rsidRDefault="00C63E2D" w:rsidP="00490250">
      <w:pPr>
        <w:rPr>
          <w:lang w:val="en-GB" w:eastAsia="en-US"/>
        </w:rPr>
      </w:pPr>
    </w:p>
    <w:tbl>
      <w:tblPr>
        <w:tblStyle w:val="TableGrid"/>
        <w:tblW w:w="0" w:type="auto"/>
        <w:tblLook w:val="04A0"/>
      </w:tblPr>
      <w:tblGrid>
        <w:gridCol w:w="4583"/>
        <w:gridCol w:w="4583"/>
      </w:tblGrid>
      <w:tr w:rsidR="00C93201" w:rsidTr="001370AA">
        <w:tc>
          <w:tcPr>
            <w:tcW w:w="4583" w:type="dxa"/>
          </w:tcPr>
          <w:p w:rsidR="00C93201" w:rsidRDefault="00C93201" w:rsidP="001370AA">
            <w:pPr>
              <w:pStyle w:val="Caption"/>
              <w:jc w:val="center"/>
            </w:pPr>
            <w:r w:rsidRPr="001B7475">
              <w:object w:dxaOrig="7266" w:dyaOrig="2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9pt;height:71.45pt" o:ole="">
                  <v:imagedata r:id="rId8" o:title=""/>
                </v:shape>
                <o:OLEObject Type="Embed" ProgID="Visio.Drawing.11" ShapeID="_x0000_i1025" DrawAspect="Content" ObjectID="_1574407761" r:id="rId9"/>
              </w:object>
            </w:r>
          </w:p>
        </w:tc>
        <w:tc>
          <w:tcPr>
            <w:tcW w:w="4583" w:type="dxa"/>
          </w:tcPr>
          <w:p w:rsidR="00C93201" w:rsidRDefault="00C93201" w:rsidP="001370AA">
            <w:pPr>
              <w:pStyle w:val="Caption"/>
              <w:jc w:val="center"/>
            </w:pPr>
            <w:r w:rsidRPr="001B7475">
              <w:object w:dxaOrig="7266" w:dyaOrig="2593">
                <v:shape id="_x0000_i1026" type="#_x0000_t75" style="width:199.9pt;height:71.45pt" o:ole="">
                  <v:imagedata r:id="rId10" o:title=""/>
                </v:shape>
                <o:OLEObject Type="Embed" ProgID="Visio.Drawing.11" ShapeID="_x0000_i1026" DrawAspect="Content" ObjectID="_1574407762" r:id="rId11"/>
              </w:object>
            </w:r>
          </w:p>
        </w:tc>
      </w:tr>
    </w:tbl>
    <w:p w:rsidR="00C93201" w:rsidRDefault="00C93201" w:rsidP="00C93201">
      <w:pPr>
        <w:pStyle w:val="Caption"/>
        <w:jc w:val="center"/>
      </w:pPr>
      <w:r>
        <w:t xml:space="preserve">Figure </w:t>
      </w:r>
      <w:fldSimple w:instr=" SEQ Figure \* ARABIC ">
        <w:r w:rsidR="00F8498F">
          <w:rPr>
            <w:noProof/>
          </w:rPr>
          <w:t>1</w:t>
        </w:r>
      </w:fldSimple>
      <w:r>
        <w:t xml:space="preserve"> – Deployment scenarios for CA with 3.5 GHz and 700 MHz - In the left-hand figure, </w:t>
      </w:r>
      <w:r w:rsidRPr="001B7475">
        <w:t>F1 and F2 cells are co-located and overlaid, but F2 has smaller coverage due to larger path loss. Only F1 provides sufficient coverage and F2 is used to improve throughput. Mobility is performed based on F1 coverage</w:t>
      </w:r>
      <w:r>
        <w:t xml:space="preserve">. In the right-hand figure, </w:t>
      </w:r>
      <w:r w:rsidRPr="001B7475">
        <w:t>F1 provides macro coverage and on F2 Remote Radio Heads (RRHs) are used to improve throughput at hot spots. Mobility is performed based on F1 coverage</w:t>
      </w:r>
      <w:r>
        <w:t xml:space="preserve"> </w:t>
      </w:r>
    </w:p>
    <w:p w:rsidR="00B72A76" w:rsidRPr="00936AEF" w:rsidRDefault="00B72A76" w:rsidP="00936AEF">
      <w:pPr>
        <w:rPr>
          <w:lang w:eastAsia="en-US"/>
        </w:rPr>
      </w:pPr>
    </w:p>
    <w:p w:rsidR="00153A0B" w:rsidRPr="00153A0B" w:rsidRDefault="00C63E2D" w:rsidP="00153A0B">
      <w:pPr>
        <w:pStyle w:val="Heading2"/>
        <w:numPr>
          <w:ilvl w:val="0"/>
          <w:numId w:val="12"/>
        </w:numPr>
        <w:spacing w:before="60" w:after="60"/>
        <w:ind w:hanging="644"/>
      </w:pPr>
      <w:r>
        <w:rPr>
          <w:lang w:eastAsia="zh-CN"/>
        </w:rPr>
        <w:lastRenderedPageBreak/>
        <w:t>Comparison</w:t>
      </w:r>
      <w:r w:rsidR="00523FDC">
        <w:rPr>
          <w:lang w:eastAsia="zh-CN"/>
        </w:rPr>
        <w:t xml:space="preserve"> of</w:t>
      </w:r>
      <w:r w:rsidR="00996278">
        <w:rPr>
          <w:lang w:eastAsia="zh-CN"/>
        </w:rPr>
        <w:t xml:space="preserve"> 15 kHz and 30 kHz SCS</w:t>
      </w:r>
    </w:p>
    <w:bookmarkEnd w:id="6"/>
    <w:bookmarkEnd w:id="7"/>
    <w:p w:rsidR="00996278" w:rsidRDefault="00C93201" w:rsidP="00061723">
      <w:pPr>
        <w:spacing w:afterLines="50"/>
        <w:jc w:val="both"/>
        <w:rPr>
          <w:rFonts w:eastAsia="Arial Unicode MS" w:cs="Arial"/>
          <w:kern w:val="2"/>
          <w:szCs w:val="20"/>
        </w:rPr>
      </w:pPr>
      <w:r w:rsidRPr="00C93201">
        <w:rPr>
          <w:rFonts w:eastAsia="Arial Unicode MS" w:cs="Arial"/>
          <w:kern w:val="2"/>
          <w:szCs w:val="20"/>
        </w:rPr>
        <w:t xml:space="preserve">Simulations have been performed to compare the throughput between 15 kHz and 30 kHz. The results are illustrated in Figure 2 below and the simulation assumptions are shown in the Appendix. </w:t>
      </w:r>
      <w:r w:rsidR="00CE2E0B">
        <w:rPr>
          <w:rFonts w:eastAsia="Arial Unicode MS" w:cs="Arial"/>
          <w:kern w:val="2"/>
          <w:szCs w:val="20"/>
        </w:rPr>
        <w:t xml:space="preserve">The </w:t>
      </w:r>
      <w:r w:rsidR="00996278">
        <w:rPr>
          <w:rFonts w:eastAsia="Arial Unicode MS" w:cs="Arial"/>
          <w:kern w:val="2"/>
          <w:szCs w:val="20"/>
        </w:rPr>
        <w:t>carrier frequency that is</w:t>
      </w:r>
      <w:r w:rsidR="0013295C">
        <w:rPr>
          <w:rFonts w:eastAsia="Arial Unicode MS" w:cs="Arial"/>
          <w:kern w:val="2"/>
          <w:szCs w:val="20"/>
        </w:rPr>
        <w:t xml:space="preserve"> chosen as </w:t>
      </w:r>
      <w:r w:rsidR="00996278">
        <w:rPr>
          <w:rFonts w:eastAsia="Arial Unicode MS" w:cs="Arial"/>
          <w:kern w:val="2"/>
          <w:szCs w:val="20"/>
        </w:rPr>
        <w:t xml:space="preserve">example is 700 </w:t>
      </w:r>
      <w:r w:rsidR="0013295C">
        <w:rPr>
          <w:rFonts w:eastAsia="Arial Unicode MS" w:cs="Arial"/>
          <w:kern w:val="2"/>
          <w:szCs w:val="20"/>
        </w:rPr>
        <w:t>MHz,</w:t>
      </w:r>
      <w:r w:rsidR="00996278">
        <w:rPr>
          <w:rFonts w:eastAsia="Arial Unicode MS" w:cs="Arial"/>
          <w:kern w:val="2"/>
          <w:szCs w:val="20"/>
        </w:rPr>
        <w:t xml:space="preserve"> </w:t>
      </w:r>
      <w:r w:rsidR="0013295C">
        <w:rPr>
          <w:rFonts w:eastAsia="Arial Unicode MS" w:cs="Arial"/>
          <w:kern w:val="2"/>
          <w:szCs w:val="20"/>
        </w:rPr>
        <w:t>b</w:t>
      </w:r>
      <w:r w:rsidR="00996278">
        <w:rPr>
          <w:rFonts w:eastAsia="Arial Unicode MS" w:cs="Arial"/>
          <w:kern w:val="2"/>
          <w:szCs w:val="20"/>
        </w:rPr>
        <w:t>ut similar result</w:t>
      </w:r>
      <w:r w:rsidR="0013295C">
        <w:rPr>
          <w:rFonts w:eastAsia="Arial Unicode MS" w:cs="Arial"/>
          <w:kern w:val="2"/>
          <w:szCs w:val="20"/>
        </w:rPr>
        <w:t xml:space="preserve"> are expected for other low frequency bands.</w:t>
      </w:r>
      <w:r w:rsidR="00996278">
        <w:rPr>
          <w:rFonts w:eastAsia="Arial Unicode MS" w:cs="Arial"/>
          <w:kern w:val="2"/>
          <w:szCs w:val="20"/>
        </w:rPr>
        <w:t xml:space="preserve"> </w:t>
      </w:r>
    </w:p>
    <w:p w:rsidR="003254A1" w:rsidRDefault="00C93201" w:rsidP="00061723">
      <w:pPr>
        <w:spacing w:afterLines="50"/>
        <w:jc w:val="both"/>
        <w:rPr>
          <w:rFonts w:eastAsia="Arial Unicode MS" w:cs="Arial"/>
          <w:kern w:val="2"/>
          <w:szCs w:val="20"/>
        </w:rPr>
      </w:pPr>
      <w:r w:rsidRPr="00C93201">
        <w:rPr>
          <w:rFonts w:eastAsia="Arial Unicode MS" w:cs="Arial"/>
          <w:kern w:val="2"/>
          <w:szCs w:val="20"/>
        </w:rPr>
        <w:t>It can be seen that from medium SNR values onwards, the 15 kHz SCS clearly outperforms the higher sub-carrier spacing. This performance difference is due to the insufficient CP protection of the shorter 30 kHz symbols.</w:t>
      </w:r>
    </w:p>
    <w:p w:rsidR="00F179E8" w:rsidRDefault="003254A1" w:rsidP="00061723">
      <w:pPr>
        <w:spacing w:afterLines="50"/>
        <w:jc w:val="both"/>
        <w:rPr>
          <w:rFonts w:eastAsia="Arial Unicode MS" w:cs="Arial"/>
          <w:kern w:val="2"/>
          <w:szCs w:val="20"/>
        </w:rPr>
      </w:pPr>
      <w:r>
        <w:rPr>
          <w:rFonts w:eastAsia="Arial Unicode MS" w:cs="Arial"/>
          <w:kern w:val="2"/>
          <w:szCs w:val="20"/>
        </w:rPr>
        <w:t>Additionally</w:t>
      </w:r>
      <w:r w:rsidR="00F13B53">
        <w:rPr>
          <w:rFonts w:eastAsia="Arial Unicode MS" w:cs="Arial"/>
          <w:kern w:val="2"/>
          <w:szCs w:val="20"/>
        </w:rPr>
        <w:t xml:space="preserve">, </w:t>
      </w:r>
      <w:r w:rsidR="00F13B53">
        <w:rPr>
          <w:rFonts w:eastAsia="Arial Unicode MS" w:cs="Arial" w:hint="eastAsia"/>
          <w:kern w:val="2"/>
          <w:szCs w:val="20"/>
        </w:rPr>
        <w:t>due to the short slot duration</w:t>
      </w:r>
      <w:r w:rsidR="00F13B53">
        <w:rPr>
          <w:rFonts w:eastAsia="Arial Unicode MS" w:cs="Arial"/>
          <w:kern w:val="2"/>
          <w:szCs w:val="20"/>
        </w:rPr>
        <w:t xml:space="preserve"> of the 30 kHz SCS</w:t>
      </w:r>
      <w:r w:rsidR="00CE2E0B">
        <w:rPr>
          <w:rFonts w:eastAsia="Arial Unicode MS" w:cs="Arial" w:hint="eastAsia"/>
          <w:kern w:val="2"/>
          <w:szCs w:val="20"/>
        </w:rPr>
        <w:t xml:space="preserve">, the UL coverage </w:t>
      </w:r>
      <w:r w:rsidR="00F13B53">
        <w:rPr>
          <w:rFonts w:eastAsia="Arial Unicode MS" w:cs="Arial" w:hint="eastAsia"/>
          <w:kern w:val="2"/>
          <w:szCs w:val="20"/>
        </w:rPr>
        <w:t>w</w:t>
      </w:r>
      <w:r w:rsidR="00F13B53">
        <w:rPr>
          <w:rFonts w:eastAsia="Arial Unicode MS" w:cs="Arial"/>
          <w:kern w:val="2"/>
          <w:szCs w:val="20"/>
        </w:rPr>
        <w:t>ould also be decreased.</w:t>
      </w:r>
      <w:r w:rsidR="00F13B53">
        <w:rPr>
          <w:rFonts w:eastAsia="Arial Unicode MS" w:cs="Arial" w:hint="eastAsia"/>
          <w:kern w:val="2"/>
          <w:szCs w:val="20"/>
        </w:rPr>
        <w:t xml:space="preserve"> </w:t>
      </w:r>
      <w:r w:rsidR="00F13B53">
        <w:rPr>
          <w:rFonts w:eastAsia="Arial Unicode MS" w:cs="Arial"/>
          <w:kern w:val="2"/>
          <w:szCs w:val="20"/>
        </w:rPr>
        <w:t>To overcome this, s</w:t>
      </w:r>
      <w:r w:rsidR="00F13B53">
        <w:rPr>
          <w:rFonts w:eastAsia="Arial Unicode MS" w:cs="Arial" w:hint="eastAsia"/>
          <w:kern w:val="2"/>
          <w:szCs w:val="20"/>
        </w:rPr>
        <w:t>lot bundling or</w:t>
      </w:r>
      <w:r w:rsidR="00F13B53">
        <w:rPr>
          <w:rFonts w:eastAsia="Arial Unicode MS" w:cs="Arial"/>
          <w:kern w:val="2"/>
          <w:szCs w:val="20"/>
        </w:rPr>
        <w:t xml:space="preserve"> slot</w:t>
      </w:r>
      <w:r w:rsidR="00F13B53">
        <w:rPr>
          <w:rFonts w:eastAsia="Arial Unicode MS" w:cs="Arial" w:hint="eastAsia"/>
          <w:kern w:val="2"/>
          <w:szCs w:val="20"/>
        </w:rPr>
        <w:t xml:space="preserve"> aggregation </w:t>
      </w:r>
      <w:r w:rsidR="00C93201">
        <w:rPr>
          <w:rFonts w:eastAsia="Arial Unicode MS" w:cs="Arial"/>
          <w:kern w:val="2"/>
          <w:szCs w:val="20"/>
        </w:rPr>
        <w:t>can</w:t>
      </w:r>
      <w:r w:rsidR="00F13B53">
        <w:rPr>
          <w:rFonts w:eastAsia="Arial Unicode MS" w:cs="Arial"/>
          <w:kern w:val="2"/>
          <w:szCs w:val="20"/>
        </w:rPr>
        <w:t xml:space="preserve"> be</w:t>
      </w:r>
      <w:r w:rsidR="00F13B53">
        <w:rPr>
          <w:rFonts w:eastAsia="Arial Unicode MS" w:cs="Arial" w:hint="eastAsia"/>
          <w:kern w:val="2"/>
          <w:szCs w:val="20"/>
        </w:rPr>
        <w:t xml:space="preserve"> used</w:t>
      </w:r>
      <w:r w:rsidR="00C93201">
        <w:rPr>
          <w:rFonts w:eastAsia="Arial Unicode MS" w:cs="Arial"/>
          <w:kern w:val="2"/>
          <w:szCs w:val="20"/>
        </w:rPr>
        <w:t xml:space="preserve"> which</w:t>
      </w:r>
      <w:r w:rsidR="00F13B53">
        <w:rPr>
          <w:rFonts w:eastAsia="Arial Unicode MS" w:cs="Arial"/>
          <w:kern w:val="2"/>
          <w:szCs w:val="20"/>
        </w:rPr>
        <w:t xml:space="preserve"> </w:t>
      </w:r>
      <w:r w:rsidR="00F13B53">
        <w:rPr>
          <w:rFonts w:eastAsia="Arial Unicode MS" w:cs="Arial" w:hint="eastAsia"/>
          <w:kern w:val="2"/>
          <w:szCs w:val="20"/>
        </w:rPr>
        <w:t>reduce</w:t>
      </w:r>
      <w:r w:rsidR="00C93201">
        <w:rPr>
          <w:rFonts w:eastAsia="Arial Unicode MS" w:cs="Arial"/>
          <w:kern w:val="2"/>
          <w:szCs w:val="20"/>
        </w:rPr>
        <w:t xml:space="preserve">s </w:t>
      </w:r>
      <w:r w:rsidR="00F13B53">
        <w:rPr>
          <w:rFonts w:eastAsia="Arial Unicode MS" w:cs="Arial"/>
          <w:kern w:val="2"/>
          <w:szCs w:val="20"/>
        </w:rPr>
        <w:t>the resource</w:t>
      </w:r>
      <w:r w:rsidR="00F13B53">
        <w:rPr>
          <w:rFonts w:eastAsia="Arial Unicode MS" w:cs="Arial" w:hint="eastAsia"/>
          <w:kern w:val="2"/>
          <w:szCs w:val="20"/>
        </w:rPr>
        <w:t xml:space="preserve"> </w:t>
      </w:r>
      <w:r w:rsidR="00F13B53">
        <w:rPr>
          <w:rFonts w:eastAsia="Arial Unicode MS" w:cs="Arial"/>
          <w:kern w:val="2"/>
          <w:szCs w:val="20"/>
        </w:rPr>
        <w:t>utilization</w:t>
      </w:r>
      <w:r w:rsidR="00F13B53">
        <w:rPr>
          <w:rFonts w:eastAsia="Arial Unicode MS" w:cs="Arial" w:hint="eastAsia"/>
          <w:kern w:val="2"/>
          <w:szCs w:val="20"/>
        </w:rPr>
        <w:t>.</w:t>
      </w:r>
    </w:p>
    <w:p w:rsidR="0018088C" w:rsidRDefault="00F13B53" w:rsidP="0018088C">
      <w:pPr>
        <w:keepNext/>
        <w:spacing w:line="0" w:lineRule="atLeast"/>
        <w:jc w:val="center"/>
      </w:pPr>
      <w:r w:rsidRPr="00F13B53">
        <w:rPr>
          <w:noProof/>
          <w:lang w:val="sv-SE" w:eastAsia="sv-SE"/>
        </w:rPr>
        <w:drawing>
          <wp:inline distT="0" distB="0" distL="0" distR="0">
            <wp:extent cx="5136991" cy="3201499"/>
            <wp:effectExtent l="19050" t="0" r="6509"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137972" cy="3202110"/>
                    </a:xfrm>
                    <a:prstGeom prst="rect">
                      <a:avLst/>
                    </a:prstGeom>
                    <a:noFill/>
                    <a:ln w="9525">
                      <a:noFill/>
                      <a:miter lim="800000"/>
                      <a:headEnd/>
                      <a:tailEnd/>
                    </a:ln>
                  </pic:spPr>
                </pic:pic>
              </a:graphicData>
            </a:graphic>
          </wp:inline>
        </w:drawing>
      </w:r>
    </w:p>
    <w:p w:rsidR="0018088C" w:rsidRDefault="00AC07D9" w:rsidP="00AC07D9">
      <w:pPr>
        <w:pStyle w:val="Caption"/>
        <w:jc w:val="center"/>
        <w:rPr>
          <w:rFonts w:eastAsia="Arial Unicode MS" w:cs="Arial"/>
          <w:kern w:val="2"/>
          <w:lang w:eastAsia="zh-CN"/>
        </w:rPr>
      </w:pPr>
      <w:r>
        <w:t xml:space="preserve">Figure </w:t>
      </w:r>
      <w:fldSimple w:instr=" SEQ Figure \* ARABIC ">
        <w:r w:rsidR="00F8498F">
          <w:rPr>
            <w:noProof/>
          </w:rPr>
          <w:t>2</w:t>
        </w:r>
      </w:fldSimple>
      <w:r>
        <w:t xml:space="preserve"> - </w:t>
      </w:r>
      <w:r w:rsidR="0018088C">
        <w:rPr>
          <w:rFonts w:hint="eastAsia"/>
          <w:lang w:eastAsia="zh-CN"/>
        </w:rPr>
        <w:t xml:space="preserve">Performance of </w:t>
      </w:r>
      <w:r>
        <w:rPr>
          <w:lang w:eastAsia="zh-CN"/>
        </w:rPr>
        <w:t xml:space="preserve">comparison between </w:t>
      </w:r>
      <w:r w:rsidR="0018088C">
        <w:rPr>
          <w:rFonts w:hint="eastAsia"/>
          <w:lang w:eastAsia="zh-CN"/>
        </w:rPr>
        <w:t>15</w:t>
      </w:r>
      <w:r>
        <w:rPr>
          <w:lang w:eastAsia="zh-CN"/>
        </w:rPr>
        <w:t xml:space="preserve"> </w:t>
      </w:r>
      <w:r w:rsidR="0018088C">
        <w:rPr>
          <w:rFonts w:hint="eastAsia"/>
          <w:lang w:eastAsia="zh-CN"/>
        </w:rPr>
        <w:t>kHz and 30</w:t>
      </w:r>
      <w:r>
        <w:rPr>
          <w:lang w:eastAsia="zh-CN"/>
        </w:rPr>
        <w:t xml:space="preserve"> </w:t>
      </w:r>
      <w:r w:rsidR="0018088C">
        <w:rPr>
          <w:rFonts w:hint="eastAsia"/>
          <w:lang w:eastAsia="zh-CN"/>
        </w:rPr>
        <w:t>kHz SCS @ band n28</w:t>
      </w:r>
    </w:p>
    <w:p w:rsidR="00F179E8" w:rsidRDefault="003254A1" w:rsidP="00061723">
      <w:pPr>
        <w:spacing w:afterLines="50"/>
        <w:jc w:val="both"/>
        <w:rPr>
          <w:rFonts w:eastAsia="Arial Unicode MS" w:cs="Arial"/>
          <w:kern w:val="2"/>
          <w:szCs w:val="20"/>
          <w:lang w:val="en-GB"/>
        </w:rPr>
      </w:pPr>
      <w:r>
        <w:rPr>
          <w:rFonts w:eastAsia="Arial Unicode MS" w:cs="Arial"/>
          <w:kern w:val="2"/>
          <w:szCs w:val="20"/>
          <w:lang w:val="en-GB"/>
        </w:rPr>
        <w:t>Figure 3 below shows the widely accepted geometry curve for the rural macro environment. It can be seen that a significant number of UEs is located in the SNR regions in which the 15 kHz SCS offers</w:t>
      </w:r>
      <w:r w:rsidR="00B72A76">
        <w:rPr>
          <w:rFonts w:eastAsia="Arial Unicode MS" w:cs="Arial"/>
          <w:kern w:val="2"/>
          <w:szCs w:val="20"/>
          <w:lang w:val="en-GB"/>
        </w:rPr>
        <w:t xml:space="preserve"> great performance gains.</w:t>
      </w:r>
      <w:r>
        <w:rPr>
          <w:rFonts w:eastAsia="Arial Unicode MS" w:cs="Arial"/>
          <w:kern w:val="2"/>
          <w:szCs w:val="20"/>
          <w:lang w:val="en-GB"/>
        </w:rPr>
        <w:t xml:space="preserve"> </w:t>
      </w:r>
    </w:p>
    <w:p w:rsidR="00F179E8" w:rsidRDefault="003254A1" w:rsidP="00061723">
      <w:pPr>
        <w:spacing w:afterLines="50"/>
        <w:jc w:val="center"/>
        <w:rPr>
          <w:rFonts w:eastAsia="Arial Unicode MS" w:cs="Arial"/>
          <w:kern w:val="2"/>
          <w:szCs w:val="20"/>
          <w:lang w:val="en-GB"/>
        </w:rPr>
      </w:pPr>
      <w:r w:rsidRPr="003254A1">
        <w:rPr>
          <w:noProof/>
          <w:szCs w:val="20"/>
          <w:lang w:val="sv-SE" w:eastAsia="sv-SE"/>
        </w:rPr>
        <w:lastRenderedPageBreak/>
        <w:drawing>
          <wp:inline distT="0" distB="0" distL="0" distR="0">
            <wp:extent cx="5073945" cy="3009793"/>
            <wp:effectExtent l="1905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5087150" cy="3017626"/>
                    </a:xfrm>
                    <a:prstGeom prst="rect">
                      <a:avLst/>
                    </a:prstGeom>
                    <a:noFill/>
                    <a:ln w="9525">
                      <a:noFill/>
                      <a:miter lim="800000"/>
                      <a:headEnd/>
                      <a:tailEnd/>
                    </a:ln>
                  </pic:spPr>
                </pic:pic>
              </a:graphicData>
            </a:graphic>
          </wp:inline>
        </w:drawing>
      </w:r>
    </w:p>
    <w:p w:rsidR="00B72A76" w:rsidRDefault="00B72A76" w:rsidP="00B72A76">
      <w:pPr>
        <w:pStyle w:val="Caption"/>
        <w:jc w:val="center"/>
        <w:rPr>
          <w:rFonts w:eastAsia="Arial Unicode MS" w:cs="Arial"/>
          <w:kern w:val="2"/>
        </w:rPr>
      </w:pPr>
      <w:r>
        <w:t xml:space="preserve">Figure </w:t>
      </w:r>
      <w:fldSimple w:instr=" SEQ Figure \* ARABIC ">
        <w:r w:rsidR="00F8498F">
          <w:rPr>
            <w:noProof/>
          </w:rPr>
          <w:t>3</w:t>
        </w:r>
      </w:fldSimple>
      <w:r>
        <w:t xml:space="preserve"> – Geometry curve for Rural Macro Environment. About 25% of the UE enjoy an SNR of 12 dB or more</w:t>
      </w:r>
    </w:p>
    <w:p w:rsidR="000C4FA4" w:rsidRDefault="000C4FA4" w:rsidP="000C4FA4">
      <w:pPr>
        <w:shd w:val="clear" w:color="auto" w:fill="FFFFFF"/>
        <w:adjustRightInd/>
        <w:spacing w:line="315" w:lineRule="atLeast"/>
        <w:rPr>
          <w:rFonts w:eastAsia="Arial Unicode MS" w:cs="Arial"/>
          <w:b/>
          <w:i/>
          <w:kern w:val="2"/>
          <w:szCs w:val="20"/>
          <w:u w:val="single"/>
          <w:lang w:val="en-GB"/>
        </w:rPr>
      </w:pPr>
    </w:p>
    <w:p w:rsidR="000C4FA4" w:rsidRDefault="000C4FA4" w:rsidP="000C4FA4">
      <w:pPr>
        <w:shd w:val="clear" w:color="auto" w:fill="FFFFFF"/>
        <w:adjustRightInd/>
        <w:spacing w:line="315" w:lineRule="atLeast"/>
        <w:rPr>
          <w:rFonts w:eastAsia="Arial Unicode MS" w:cs="Arial"/>
          <w:b/>
          <w:i/>
          <w:kern w:val="2"/>
          <w:szCs w:val="20"/>
          <w:lang w:val="en-GB"/>
        </w:rPr>
      </w:pPr>
      <w:r>
        <w:rPr>
          <w:rFonts w:eastAsia="Arial Unicode MS" w:cs="Arial"/>
          <w:b/>
          <w:i/>
          <w:kern w:val="2"/>
          <w:szCs w:val="20"/>
          <w:u w:val="single"/>
          <w:lang w:val="en-GB"/>
        </w:rPr>
        <w:t>Observation 3</w:t>
      </w:r>
      <w:r w:rsidRPr="00B72A76">
        <w:rPr>
          <w:rFonts w:eastAsia="Arial Unicode MS" w:cs="Arial"/>
          <w:b/>
          <w:i/>
          <w:kern w:val="2"/>
          <w:szCs w:val="20"/>
          <w:u w:val="single"/>
          <w:lang w:val="en-GB"/>
        </w:rPr>
        <w:t>:</w:t>
      </w:r>
      <w:r w:rsidRPr="00B72A76">
        <w:rPr>
          <w:rFonts w:eastAsia="Arial Unicode MS" w:cs="Arial"/>
          <w:b/>
          <w:i/>
          <w:kern w:val="2"/>
          <w:szCs w:val="20"/>
          <w:lang w:val="en-GB"/>
        </w:rPr>
        <w:t xml:space="preserve"> For a macro deployment </w:t>
      </w:r>
      <w:r w:rsidR="001B5A64">
        <w:rPr>
          <w:rFonts w:eastAsia="Arial Unicode MS" w:cs="Arial"/>
          <w:b/>
          <w:i/>
          <w:kern w:val="2"/>
          <w:szCs w:val="20"/>
          <w:lang w:val="en-GB"/>
        </w:rPr>
        <w:t xml:space="preserve">example </w:t>
      </w:r>
      <w:r w:rsidRPr="00B72A76">
        <w:rPr>
          <w:rFonts w:eastAsia="Arial Unicode MS" w:cs="Arial"/>
          <w:b/>
          <w:i/>
          <w:kern w:val="2"/>
          <w:szCs w:val="20"/>
          <w:lang w:val="en-GB"/>
        </w:rPr>
        <w:t>at 700 MHz, a large number of UEs (about 25% according to our simulation results) experi</w:t>
      </w:r>
      <w:r>
        <w:rPr>
          <w:rFonts w:eastAsia="Arial Unicode MS" w:cs="Arial"/>
          <w:b/>
          <w:i/>
          <w:kern w:val="2"/>
          <w:szCs w:val="20"/>
          <w:lang w:val="en-GB"/>
        </w:rPr>
        <w:t>ence such a high SNR that 15 kHz</w:t>
      </w:r>
      <w:r w:rsidRPr="00B72A76">
        <w:rPr>
          <w:rFonts w:eastAsia="Arial Unicode MS" w:cs="Arial"/>
          <w:b/>
          <w:i/>
          <w:kern w:val="2"/>
          <w:szCs w:val="20"/>
          <w:lang w:val="en-GB"/>
        </w:rPr>
        <w:t xml:space="preserve"> </w:t>
      </w:r>
      <w:r w:rsidR="002948BE">
        <w:rPr>
          <w:rFonts w:eastAsia="Arial Unicode MS" w:cs="Arial"/>
          <w:b/>
          <w:i/>
          <w:kern w:val="2"/>
          <w:szCs w:val="20"/>
          <w:lang w:val="en-GB"/>
        </w:rPr>
        <w:t xml:space="preserve">SCS </w:t>
      </w:r>
      <w:r w:rsidRPr="00B72A76">
        <w:rPr>
          <w:rFonts w:eastAsia="Arial Unicode MS" w:cs="Arial"/>
          <w:b/>
          <w:i/>
          <w:kern w:val="2"/>
          <w:szCs w:val="20"/>
          <w:lang w:val="en-GB"/>
        </w:rPr>
        <w:t>offers clear performance gains</w:t>
      </w:r>
      <w:r w:rsidR="002948BE">
        <w:rPr>
          <w:rFonts w:eastAsia="Arial Unicode MS" w:cs="Arial"/>
          <w:b/>
          <w:i/>
          <w:kern w:val="2"/>
          <w:szCs w:val="20"/>
          <w:lang w:val="en-GB"/>
        </w:rPr>
        <w:t xml:space="preserve"> over 30 kHz SCS</w:t>
      </w:r>
      <w:r w:rsidRPr="00B72A76">
        <w:rPr>
          <w:rFonts w:eastAsia="Arial Unicode MS" w:cs="Arial"/>
          <w:b/>
          <w:i/>
          <w:kern w:val="2"/>
          <w:szCs w:val="20"/>
          <w:lang w:val="en-GB"/>
        </w:rPr>
        <w:t>.</w:t>
      </w:r>
    </w:p>
    <w:p w:rsidR="000C4FA4" w:rsidRPr="000C4FA4" w:rsidRDefault="000C4FA4" w:rsidP="000C4FA4">
      <w:pPr>
        <w:shd w:val="clear" w:color="auto" w:fill="FFFFFF"/>
        <w:adjustRightInd/>
        <w:spacing w:line="315" w:lineRule="atLeast"/>
        <w:rPr>
          <w:rFonts w:eastAsia="Arial Unicode MS" w:cs="Arial"/>
          <w:b/>
          <w:i/>
          <w:kern w:val="2"/>
          <w:szCs w:val="20"/>
          <w:u w:val="single"/>
          <w:lang w:val="en-GB"/>
        </w:rPr>
      </w:pPr>
    </w:p>
    <w:p w:rsidR="000C4FA4" w:rsidRDefault="000C4FA4" w:rsidP="000C4FA4">
      <w:pPr>
        <w:shd w:val="clear" w:color="auto" w:fill="FFFFFF"/>
        <w:adjustRightInd/>
        <w:spacing w:line="315" w:lineRule="atLeast"/>
        <w:rPr>
          <w:rFonts w:eastAsia="Arial Unicode MS" w:cs="Arial"/>
          <w:b/>
          <w:i/>
          <w:kern w:val="2"/>
          <w:szCs w:val="20"/>
        </w:rPr>
      </w:pPr>
      <w:r>
        <w:rPr>
          <w:rFonts w:eastAsia="Arial Unicode MS" w:cs="Arial"/>
          <w:b/>
          <w:i/>
          <w:kern w:val="2"/>
          <w:szCs w:val="20"/>
          <w:u w:val="single"/>
        </w:rPr>
        <w:t>Observation 4</w:t>
      </w:r>
      <w:r w:rsidRPr="00F13B53">
        <w:rPr>
          <w:rFonts w:eastAsia="Arial Unicode MS" w:cs="Arial"/>
          <w:b/>
          <w:i/>
          <w:kern w:val="2"/>
          <w:szCs w:val="20"/>
          <w:u w:val="single"/>
        </w:rPr>
        <w:t>:</w:t>
      </w:r>
      <w:r w:rsidRPr="00E515E0">
        <w:rPr>
          <w:rFonts w:eastAsia="Arial Unicode MS" w:cs="Arial"/>
          <w:b/>
          <w:i/>
          <w:kern w:val="2"/>
          <w:szCs w:val="20"/>
        </w:rPr>
        <w:t xml:space="preserve"> For band combinations below 6 GHz</w:t>
      </w:r>
      <w:r>
        <w:rPr>
          <w:rFonts w:eastAsia="Arial Unicode MS" w:cs="Arial"/>
          <w:b/>
          <w:i/>
          <w:kern w:val="2"/>
          <w:szCs w:val="20"/>
        </w:rPr>
        <w:t xml:space="preserve"> the performance degradation is significant if all bands are forced to use the same numerology.</w:t>
      </w:r>
    </w:p>
    <w:p w:rsidR="000C4FA4" w:rsidRPr="002948BE" w:rsidRDefault="000C4FA4" w:rsidP="00523FDC">
      <w:pPr>
        <w:pStyle w:val="ListParagraph"/>
        <w:numPr>
          <w:ilvl w:val="0"/>
          <w:numId w:val="45"/>
        </w:numPr>
        <w:shd w:val="clear" w:color="auto" w:fill="FFFFFF"/>
        <w:adjustRightInd/>
        <w:spacing w:line="315" w:lineRule="atLeast"/>
        <w:ind w:firstLineChars="0"/>
        <w:rPr>
          <w:rFonts w:eastAsia="Arial Unicode MS" w:cs="Arial"/>
          <w:b/>
          <w:i/>
          <w:kern w:val="2"/>
          <w:szCs w:val="20"/>
        </w:rPr>
      </w:pPr>
      <w:r w:rsidRPr="000C4FA4">
        <w:rPr>
          <w:rFonts w:eastAsia="Arial Unicode MS" w:cs="Arial"/>
          <w:b/>
          <w:i/>
          <w:kern w:val="2"/>
          <w:szCs w:val="20"/>
        </w:rPr>
        <w:t>For example, the higher frequenc</w:t>
      </w:r>
      <w:r>
        <w:rPr>
          <w:rFonts w:eastAsia="Arial Unicode MS" w:cs="Arial"/>
          <w:b/>
          <w:i/>
          <w:kern w:val="2"/>
          <w:szCs w:val="20"/>
        </w:rPr>
        <w:t xml:space="preserve">y band would need to use 30 kHz for latency and performance reasons </w:t>
      </w:r>
      <w:r w:rsidRPr="000C4FA4">
        <w:rPr>
          <w:rFonts w:eastAsia="Arial Unicode MS" w:cs="Arial"/>
          <w:b/>
          <w:i/>
          <w:kern w:val="2"/>
          <w:szCs w:val="20"/>
        </w:rPr>
        <w:t>whereas in a low frequency band (e.g. 700 MHz), for the commonly used channel model TDL A with DS=1000ns, the 15 kHz SCS clearly outperfor</w:t>
      </w:r>
      <w:r>
        <w:rPr>
          <w:rFonts w:eastAsia="Arial Unicode MS" w:cs="Arial"/>
          <w:b/>
          <w:i/>
          <w:kern w:val="2"/>
          <w:szCs w:val="20"/>
        </w:rPr>
        <w:t>ms the 30 kHz in coverage and</w:t>
      </w:r>
      <w:r w:rsidRPr="000C4FA4">
        <w:rPr>
          <w:rFonts w:eastAsia="Arial Unicode MS" w:cs="Arial"/>
          <w:b/>
          <w:i/>
          <w:kern w:val="2"/>
          <w:szCs w:val="20"/>
        </w:rPr>
        <w:t xml:space="preserve"> throughput for medium to high SNR regions.</w:t>
      </w:r>
    </w:p>
    <w:p w:rsidR="00B72A76" w:rsidRDefault="00B72A76" w:rsidP="00523FDC">
      <w:pPr>
        <w:shd w:val="clear" w:color="auto" w:fill="FFFFFF"/>
        <w:adjustRightInd/>
        <w:spacing w:line="315" w:lineRule="atLeast"/>
        <w:rPr>
          <w:rFonts w:eastAsia="Arial Unicode MS" w:cs="Arial"/>
          <w:kern w:val="2"/>
          <w:szCs w:val="20"/>
          <w:lang w:val="en-GB"/>
        </w:rPr>
      </w:pPr>
    </w:p>
    <w:p w:rsidR="00882118" w:rsidRDefault="00C93201" w:rsidP="00A27911">
      <w:pPr>
        <w:pStyle w:val="Heading2"/>
        <w:numPr>
          <w:ilvl w:val="0"/>
          <w:numId w:val="12"/>
        </w:numPr>
        <w:spacing w:before="60" w:after="60"/>
        <w:ind w:hanging="644"/>
        <w:rPr>
          <w:szCs w:val="21"/>
          <w:lang w:eastAsia="zh-CN"/>
        </w:rPr>
      </w:pPr>
      <w:r>
        <w:rPr>
          <w:szCs w:val="21"/>
          <w:lang w:eastAsia="zh-CN"/>
        </w:rPr>
        <w:t>Discussion on</w:t>
      </w:r>
      <w:r w:rsidR="00CA6F56">
        <w:rPr>
          <w:szCs w:val="21"/>
          <w:lang w:eastAsia="zh-CN"/>
        </w:rPr>
        <w:t xml:space="preserve"> specification impact</w:t>
      </w:r>
    </w:p>
    <w:p w:rsidR="00882118" w:rsidRPr="00EE59AD" w:rsidRDefault="00CA6F56" w:rsidP="00882118">
      <w:pPr>
        <w:pStyle w:val="Heading2"/>
        <w:numPr>
          <w:ilvl w:val="1"/>
          <w:numId w:val="12"/>
        </w:numPr>
        <w:spacing w:before="60" w:after="60"/>
        <w:rPr>
          <w:sz w:val="28"/>
          <w:szCs w:val="28"/>
          <w:lang w:eastAsia="zh-CN"/>
        </w:rPr>
      </w:pPr>
      <w:r w:rsidRPr="00EE59AD">
        <w:rPr>
          <w:rFonts w:hint="eastAsia"/>
          <w:sz w:val="28"/>
          <w:szCs w:val="28"/>
          <w:lang w:eastAsia="zh-CN"/>
        </w:rPr>
        <w:t>HARQ-A</w:t>
      </w:r>
      <w:r w:rsidRPr="00EE59AD">
        <w:rPr>
          <w:sz w:val="28"/>
          <w:szCs w:val="28"/>
          <w:lang w:eastAsia="zh-CN"/>
        </w:rPr>
        <w:t>/N</w:t>
      </w:r>
      <w:r w:rsidR="005501CB" w:rsidRPr="00EE59AD">
        <w:rPr>
          <w:rFonts w:hint="eastAsia"/>
          <w:sz w:val="28"/>
          <w:szCs w:val="28"/>
          <w:lang w:eastAsia="zh-CN"/>
        </w:rPr>
        <w:t xml:space="preserve"> </w:t>
      </w:r>
      <w:r w:rsidR="00202467" w:rsidRPr="00EE59AD">
        <w:rPr>
          <w:rFonts w:hint="eastAsia"/>
          <w:sz w:val="28"/>
          <w:szCs w:val="28"/>
          <w:lang w:eastAsia="zh-CN"/>
        </w:rPr>
        <w:t>Codebook</w:t>
      </w:r>
    </w:p>
    <w:p w:rsidR="004D53A6" w:rsidRDefault="00CE0FCE" w:rsidP="00CE0FCE">
      <w:pPr>
        <w:rPr>
          <w:lang w:val="en-GB"/>
        </w:rPr>
      </w:pPr>
      <w:r>
        <w:rPr>
          <w:lang w:val="en-GB"/>
        </w:rPr>
        <w:t xml:space="preserve">The reason why it was decided in [1] to focus </w:t>
      </w:r>
      <w:r w:rsidR="002207E3">
        <w:rPr>
          <w:lang w:val="en-GB"/>
        </w:rPr>
        <w:t xml:space="preserve">until December </w:t>
      </w:r>
      <w:r>
        <w:rPr>
          <w:lang w:val="en-GB"/>
        </w:rPr>
        <w:t>on the same numerology within one PUCCH grou</w:t>
      </w:r>
      <w:r w:rsidR="00882118">
        <w:rPr>
          <w:lang w:val="en-GB"/>
        </w:rPr>
        <w:t>p</w:t>
      </w:r>
      <w:r w:rsidR="002D146D">
        <w:rPr>
          <w:lang w:val="en-GB"/>
        </w:rPr>
        <w:t xml:space="preserve"> was that </w:t>
      </w:r>
      <w:r>
        <w:rPr>
          <w:lang w:val="en-GB"/>
        </w:rPr>
        <w:t xml:space="preserve">the specification impact of multiple numerologies </w:t>
      </w:r>
      <w:r w:rsidR="004D53A6">
        <w:rPr>
          <w:lang w:val="en-GB"/>
        </w:rPr>
        <w:t xml:space="preserve">was unknown </w:t>
      </w:r>
      <w:r>
        <w:rPr>
          <w:lang w:val="en-GB"/>
        </w:rPr>
        <w:t>at that point of time</w:t>
      </w:r>
      <w:r w:rsidR="004D53A6">
        <w:rPr>
          <w:lang w:val="en-GB"/>
        </w:rPr>
        <w:t>.</w:t>
      </w:r>
      <w:r w:rsidR="00882118">
        <w:rPr>
          <w:lang w:val="en-GB"/>
        </w:rPr>
        <w:t xml:space="preserve"> TSG</w:t>
      </w:r>
      <w:r w:rsidR="002207E3">
        <w:rPr>
          <w:lang w:val="en-GB"/>
        </w:rPr>
        <w:t xml:space="preserve"> RAN did not want to risk the completion date December 2017. </w:t>
      </w:r>
      <w:r w:rsidR="004D53A6">
        <w:rPr>
          <w:lang w:val="en-GB"/>
        </w:rPr>
        <w:t>It was assumed that t</w:t>
      </w:r>
      <w:r w:rsidR="002207E3">
        <w:rPr>
          <w:lang w:val="en-GB"/>
        </w:rPr>
        <w:t>he</w:t>
      </w:r>
      <w:r w:rsidR="004D53A6">
        <w:rPr>
          <w:lang w:val="en-GB"/>
        </w:rPr>
        <w:t xml:space="preserve"> crucial part is </w:t>
      </w:r>
      <w:r w:rsidR="002207E3">
        <w:rPr>
          <w:lang w:val="en-GB"/>
        </w:rPr>
        <w:t>the codebook design for the HARQ-A/N in case of mixed numerologies.</w:t>
      </w:r>
      <w:r w:rsidR="004D53A6">
        <w:rPr>
          <w:lang w:val="en-GB"/>
        </w:rPr>
        <w:t xml:space="preserve"> </w:t>
      </w:r>
      <w:r w:rsidR="002207E3">
        <w:rPr>
          <w:lang w:val="en-GB"/>
        </w:rPr>
        <w:t>However, during the discussions in RAN1#91 it</w:t>
      </w:r>
      <w:r w:rsidR="00882118">
        <w:rPr>
          <w:lang w:val="en-GB"/>
        </w:rPr>
        <w:t xml:space="preserve"> became clear, that the issue</w:t>
      </w:r>
      <w:r w:rsidR="002207E3">
        <w:rPr>
          <w:lang w:val="en-GB"/>
        </w:rPr>
        <w:t xml:space="preserve"> is not about multiple numerologies, but the crucial part for the codebook is to have different monitoring periodicities</w:t>
      </w:r>
      <w:r w:rsidR="004D53A6">
        <w:rPr>
          <w:lang w:val="en-GB"/>
        </w:rPr>
        <w:t xml:space="preserve"> in different CCs</w:t>
      </w:r>
      <w:r w:rsidR="002207E3">
        <w:rPr>
          <w:lang w:val="en-GB"/>
        </w:rPr>
        <w:t xml:space="preserve">. </w:t>
      </w:r>
    </w:p>
    <w:p w:rsidR="002207E3" w:rsidRDefault="002207E3" w:rsidP="00CE0FCE">
      <w:pPr>
        <w:rPr>
          <w:lang w:val="en-GB"/>
        </w:rPr>
      </w:pPr>
      <w:r>
        <w:rPr>
          <w:lang w:val="en-GB"/>
        </w:rPr>
        <w:lastRenderedPageBreak/>
        <w:t>Since the CORESET monitoring periodicity is configurable per cell, it is natural for NR to support different monitoring p</w:t>
      </w:r>
      <w:r w:rsidR="004D53A6">
        <w:rPr>
          <w:lang w:val="en-GB"/>
        </w:rPr>
        <w:t>eriodicities in different CCs and</w:t>
      </w:r>
      <w:r w:rsidR="00882118">
        <w:rPr>
          <w:lang w:val="en-GB"/>
        </w:rPr>
        <w:t xml:space="preserve"> </w:t>
      </w:r>
      <w:r w:rsidR="004D53A6">
        <w:rPr>
          <w:lang w:val="en-GB"/>
        </w:rPr>
        <w:t>t</w:t>
      </w:r>
      <w:r>
        <w:rPr>
          <w:lang w:val="en-GB"/>
        </w:rPr>
        <w:t>he following conclusion was made in RAN1#91</w:t>
      </w:r>
      <w:r w:rsidR="002D146D">
        <w:rPr>
          <w:lang w:val="en-GB"/>
        </w:rPr>
        <w:t xml:space="preserve"> [4]</w:t>
      </w:r>
      <w:r>
        <w:rPr>
          <w:lang w:val="en-GB"/>
        </w:rPr>
        <w:t>:</w:t>
      </w:r>
    </w:p>
    <w:p w:rsidR="004D53A6" w:rsidRDefault="004D53A6" w:rsidP="00CE0FCE">
      <w:pPr>
        <w:rPr>
          <w:lang w:val="en-GB"/>
        </w:rPr>
      </w:pPr>
    </w:p>
    <w:tbl>
      <w:tblPr>
        <w:tblStyle w:val="TableGrid"/>
        <w:tblW w:w="0" w:type="auto"/>
        <w:tblLook w:val="04A0"/>
      </w:tblPr>
      <w:tblGrid>
        <w:gridCol w:w="9166"/>
      </w:tblGrid>
      <w:tr w:rsidR="002207E3" w:rsidTr="002207E3">
        <w:trPr>
          <w:trHeight w:val="865"/>
        </w:trPr>
        <w:tc>
          <w:tcPr>
            <w:tcW w:w="9166" w:type="dxa"/>
          </w:tcPr>
          <w:p w:rsidR="00176748" w:rsidRPr="007446AA" w:rsidRDefault="00176748" w:rsidP="00176748">
            <w:pPr>
              <w:rPr>
                <w:szCs w:val="20"/>
                <w:u w:val="single"/>
              </w:rPr>
            </w:pPr>
            <w:r w:rsidRPr="007446AA">
              <w:rPr>
                <w:szCs w:val="20"/>
                <w:u w:val="single"/>
              </w:rPr>
              <w:t>Conclusion:</w:t>
            </w:r>
          </w:p>
          <w:p w:rsidR="002207E3" w:rsidRPr="00176748" w:rsidRDefault="00176748" w:rsidP="00CE0FCE">
            <w:pPr>
              <w:numPr>
                <w:ilvl w:val="0"/>
                <w:numId w:val="37"/>
              </w:numPr>
              <w:adjustRightInd/>
              <w:spacing w:line="240" w:lineRule="auto"/>
              <w:rPr>
                <w:szCs w:val="20"/>
              </w:rPr>
            </w:pPr>
            <w:r w:rsidRPr="007446AA">
              <w:rPr>
                <w:szCs w:val="20"/>
              </w:rPr>
              <w:t>It is understood that different PDCCH monitoring periodicities per PUCCH cell group are supported for same scheduling “type” (i.e. ‘slot-based scheduling’ or “non-slot-based” scheduling)</w:t>
            </w:r>
          </w:p>
        </w:tc>
      </w:tr>
    </w:tbl>
    <w:p w:rsidR="002207E3" w:rsidRDefault="002207E3" w:rsidP="00CE0FCE">
      <w:pPr>
        <w:rPr>
          <w:lang w:val="en-GB"/>
        </w:rPr>
      </w:pPr>
    </w:p>
    <w:p w:rsidR="004D53A6" w:rsidRDefault="004D53A6" w:rsidP="004D53A6">
      <w:pPr>
        <w:rPr>
          <w:lang w:val="en-GB"/>
        </w:rPr>
      </w:pPr>
      <w:r>
        <w:rPr>
          <w:lang w:val="en-GB"/>
        </w:rPr>
        <w:t>The same “scheduling type” in the above conclusion means for example that the UE could monitor PDCCH every slot in one CC and every second slot in another CC (all slot based scheduling). It could also mean that a UE would monitor every second symbol in one CC and every seventh symbol in the other CC (non-slot based scheduling).</w:t>
      </w:r>
    </w:p>
    <w:p w:rsidR="004D53A6" w:rsidRDefault="004D53A6" w:rsidP="004D53A6">
      <w:pPr>
        <w:rPr>
          <w:lang w:val="en-GB"/>
        </w:rPr>
      </w:pPr>
      <w:r>
        <w:rPr>
          <w:lang w:val="en-GB"/>
        </w:rPr>
        <w:t>Thus, for the codebook design, it is already supported that the PDCCHs in different CCs can be monitored at different time instances. The PDCCH monitoring of CCs with different numerologies is nothing different, the PDCCH in different CCs is simply monitored at different time instances. Furthermore, the monitoring times instances for e.g. SCS = 15 kHz with a monitoring periodicity of 2 slots are exactly the same as for SCS = 30 kHz with a monitoring periodicity of 4 slots. For the codebook design, these two cases are equivalent.</w:t>
      </w:r>
    </w:p>
    <w:p w:rsidR="004D53A6" w:rsidRDefault="004D53A6" w:rsidP="004D53A6">
      <w:pPr>
        <w:rPr>
          <w:lang w:val="en-GB"/>
        </w:rPr>
      </w:pPr>
    </w:p>
    <w:p w:rsidR="004D53A6" w:rsidRDefault="004D53A6" w:rsidP="004D53A6">
      <w:pPr>
        <w:rPr>
          <w:lang w:val="en-GB"/>
        </w:rPr>
      </w:pPr>
      <w:r>
        <w:rPr>
          <w:lang w:val="en-GB"/>
        </w:rPr>
        <w:t>This is illustrated below in the Figure 4</w:t>
      </w:r>
      <w:r w:rsidR="002D146D">
        <w:rPr>
          <w:lang w:val="en-GB"/>
        </w:rPr>
        <w:t xml:space="preserve"> for the example of the dynamic codebook design</w:t>
      </w:r>
      <w:r>
        <w:rPr>
          <w:lang w:val="en-GB"/>
        </w:rPr>
        <w:t>.</w:t>
      </w:r>
      <w:r w:rsidR="008158AA">
        <w:rPr>
          <w:lang w:val="en-GB"/>
        </w:rPr>
        <w:t xml:space="preserve"> It includes the already agreed counter DAI (downlink assignment index) and total DAI [5]</w:t>
      </w:r>
      <w:r w:rsidR="00A428A9">
        <w:rPr>
          <w:lang w:val="en-GB"/>
        </w:rPr>
        <w:t xml:space="preserve">. </w:t>
      </w:r>
      <w:r>
        <w:rPr>
          <w:lang w:val="en-GB"/>
        </w:rPr>
        <w:t xml:space="preserve">The first 3 CCs are using SCS = 30 kHz, where the PDCCH in CC#0 is monitored every slot, in CC#1 every second slot and in CC3 every fourth slot. This is indicated by the red arrows in the first three CCs in Figure 4 below. The last two CCs in Figure use 15 kHz SCS with a monitoring periodicity of every slot in CC#3 and every second slot in CC#4. It is observed that the PDCCH monitoring occasions in CC#1 are identical with those in CC#3 and the monitoring occasions in CC#2 are identical with the occasions in CC#4. Thus, the codebook design is not affected and transparent to whether different monitoring periodicities of the same or different numerology are used.  </w:t>
      </w:r>
    </w:p>
    <w:p w:rsidR="00CA5965" w:rsidRDefault="00CA5965" w:rsidP="00CE0FCE">
      <w:pPr>
        <w:rPr>
          <w:lang w:val="en-GB"/>
        </w:rPr>
      </w:pPr>
      <w:r>
        <w:rPr>
          <w:lang w:val="en-GB"/>
        </w:rPr>
        <w:t xml:space="preserve">.  </w:t>
      </w:r>
    </w:p>
    <w:bookmarkStart w:id="8" w:name="OLE_LINK8"/>
    <w:p w:rsidR="00DE45E8" w:rsidRDefault="00D60817" w:rsidP="00DE45E8">
      <w:pPr>
        <w:jc w:val="center"/>
        <w:rPr>
          <w:lang w:val="en-GB"/>
        </w:rPr>
      </w:pPr>
      <w:r>
        <w:object w:dxaOrig="10420" w:dyaOrig="8205">
          <v:shape id="_x0000_i1027" type="#_x0000_t75" style="width:390.65pt;height:307.9pt" o:ole="">
            <v:imagedata r:id="rId14" o:title=""/>
          </v:shape>
          <o:OLEObject Type="Embed" ProgID="Visio.Drawing.11" ShapeID="_x0000_i1027" DrawAspect="Content" ObjectID="_1574407763" r:id="rId15"/>
        </w:object>
      </w:r>
      <w:bookmarkEnd w:id="8"/>
    </w:p>
    <w:p w:rsidR="00CE0FCE" w:rsidRDefault="00DE45E8" w:rsidP="00882118">
      <w:pPr>
        <w:pStyle w:val="Caption"/>
        <w:jc w:val="center"/>
      </w:pPr>
      <w:r>
        <w:t xml:space="preserve">Figure </w:t>
      </w:r>
      <w:fldSimple w:instr=" SEQ Figure \* ARABIC ">
        <w:r w:rsidR="00F8498F">
          <w:rPr>
            <w:noProof/>
          </w:rPr>
          <w:t>4</w:t>
        </w:r>
      </w:fldSimple>
      <w:r>
        <w:t xml:space="preserve"> – HARQ-A/N codebook design for different monitoring periodicities. The codebook remains</w:t>
      </w:r>
      <w:r w:rsidR="00882118">
        <w:t xml:space="preserve"> unchanged if different numerologies are included in PUCCH group</w:t>
      </w:r>
    </w:p>
    <w:p w:rsidR="00DE45E8" w:rsidRPr="00DE45E8" w:rsidRDefault="00DE45E8" w:rsidP="00E515E0">
      <w:pPr>
        <w:tabs>
          <w:tab w:val="left" w:pos="2267"/>
        </w:tabs>
      </w:pPr>
    </w:p>
    <w:p w:rsidR="00362C01" w:rsidRPr="00362C01" w:rsidRDefault="002D146D" w:rsidP="00CE0FCE">
      <w:pPr>
        <w:rPr>
          <w:i/>
          <w:lang w:val="en-GB"/>
        </w:rPr>
      </w:pPr>
      <w:r>
        <w:rPr>
          <w:b/>
          <w:i/>
          <w:u w:val="single"/>
          <w:lang w:val="en-GB"/>
        </w:rPr>
        <w:t>Observation 5</w:t>
      </w:r>
      <w:r w:rsidR="00CA5965" w:rsidRPr="00F451D7">
        <w:rPr>
          <w:b/>
          <w:i/>
          <w:u w:val="single"/>
          <w:lang w:val="en-GB"/>
        </w:rPr>
        <w:t>:</w:t>
      </w:r>
      <w:r w:rsidR="00CA5965" w:rsidRPr="00F451D7">
        <w:rPr>
          <w:b/>
          <w:i/>
          <w:lang w:val="en-GB"/>
        </w:rPr>
        <w:t xml:space="preserve"> The HARQ-A/N codebook design already includes mixed numerologies. It is equivalent to having different monitoring occasions for the same numerology</w:t>
      </w:r>
      <w:r w:rsidR="00CA5965" w:rsidRPr="00F451D7">
        <w:rPr>
          <w:i/>
          <w:lang w:val="en-GB"/>
        </w:rPr>
        <w:t xml:space="preserve">.     </w:t>
      </w:r>
    </w:p>
    <w:p w:rsidR="00CA5965" w:rsidRPr="00EE59AD" w:rsidRDefault="00CA5965" w:rsidP="00CA5965">
      <w:pPr>
        <w:pStyle w:val="Heading2"/>
        <w:numPr>
          <w:ilvl w:val="1"/>
          <w:numId w:val="12"/>
        </w:numPr>
        <w:spacing w:before="60" w:after="60"/>
        <w:rPr>
          <w:sz w:val="28"/>
          <w:szCs w:val="28"/>
        </w:rPr>
      </w:pPr>
      <w:r w:rsidRPr="00EE59AD">
        <w:rPr>
          <w:sz w:val="28"/>
          <w:szCs w:val="28"/>
        </w:rPr>
        <w:t>HARQ timing</w:t>
      </w:r>
    </w:p>
    <w:p w:rsidR="00CA5965" w:rsidRDefault="00CA5965" w:rsidP="00CA5965">
      <w:pPr>
        <w:rPr>
          <w:lang w:val="en-GB" w:eastAsia="en-US"/>
        </w:rPr>
      </w:pPr>
      <w:r>
        <w:rPr>
          <w:lang w:val="en-GB" w:eastAsia="en-US"/>
        </w:rPr>
        <w:t xml:space="preserve">Although </w:t>
      </w:r>
      <w:r w:rsidR="00E76B9A">
        <w:rPr>
          <w:lang w:val="en-GB" w:eastAsia="en-US"/>
        </w:rPr>
        <w:t xml:space="preserve">the crucial issue </w:t>
      </w:r>
      <w:r w:rsidR="00362C01">
        <w:rPr>
          <w:lang w:val="en-GB" w:eastAsia="en-US"/>
        </w:rPr>
        <w:t xml:space="preserve">to be addressed in this discussion </w:t>
      </w:r>
      <w:r w:rsidR="00E76B9A">
        <w:rPr>
          <w:lang w:val="en-GB" w:eastAsia="en-US"/>
        </w:rPr>
        <w:t xml:space="preserve">is the HARQ –A/N codebook design, </w:t>
      </w:r>
      <w:r w:rsidR="00362C01">
        <w:rPr>
          <w:lang w:val="en-GB" w:eastAsia="en-US"/>
        </w:rPr>
        <w:t xml:space="preserve">for completeness we consider the </w:t>
      </w:r>
      <w:r w:rsidR="00EE59AD">
        <w:rPr>
          <w:lang w:val="en-GB" w:eastAsia="en-US"/>
        </w:rPr>
        <w:t>HARQ-</w:t>
      </w:r>
      <w:r w:rsidR="00362C01">
        <w:rPr>
          <w:lang w:val="en-GB" w:eastAsia="en-US"/>
        </w:rPr>
        <w:t xml:space="preserve">A/N timing. </w:t>
      </w:r>
      <w:r w:rsidR="00E76B9A">
        <w:rPr>
          <w:lang w:val="en-GB" w:eastAsia="en-US"/>
        </w:rPr>
        <w:t>The following agreements were made in RAN1:</w:t>
      </w:r>
    </w:p>
    <w:tbl>
      <w:tblPr>
        <w:tblStyle w:val="TableGrid"/>
        <w:tblW w:w="0" w:type="auto"/>
        <w:tblLook w:val="04A0"/>
      </w:tblPr>
      <w:tblGrid>
        <w:gridCol w:w="9166"/>
      </w:tblGrid>
      <w:tr w:rsidR="00E76B9A" w:rsidTr="00E76B9A">
        <w:tc>
          <w:tcPr>
            <w:tcW w:w="9166" w:type="dxa"/>
          </w:tcPr>
          <w:p w:rsidR="00E76B9A" w:rsidRPr="00E76B9A" w:rsidRDefault="00E76B9A" w:rsidP="00E76B9A">
            <w:pPr>
              <w:shd w:val="clear" w:color="auto" w:fill="FFFFFF"/>
              <w:adjustRightInd/>
              <w:spacing w:line="326" w:lineRule="atLeast"/>
              <w:rPr>
                <w:rFonts w:ascii="Arial" w:eastAsia="Times New Roman" w:hAnsi="Arial" w:cs="Arial"/>
                <w:color w:val="000000"/>
                <w:sz w:val="19"/>
                <w:szCs w:val="19"/>
                <w:lang w:eastAsia="sv-SE"/>
              </w:rPr>
            </w:pPr>
            <w:r w:rsidRPr="00E76B9A">
              <w:rPr>
                <w:rFonts w:ascii="Arial" w:eastAsia="Times New Roman" w:hAnsi="Arial" w:cs="Arial"/>
                <w:b/>
                <w:bCs/>
                <w:i/>
                <w:iCs/>
                <w:color w:val="000000"/>
                <w:sz w:val="19"/>
                <w:u w:val="single"/>
                <w:lang w:eastAsia="sv-SE"/>
              </w:rPr>
              <w:t>Agreements:</w:t>
            </w:r>
          </w:p>
          <w:p w:rsidR="00E76B9A" w:rsidRPr="00E76B9A" w:rsidRDefault="00E76B9A" w:rsidP="00E76B9A">
            <w:pPr>
              <w:shd w:val="clear" w:color="auto" w:fill="FFFFFF"/>
              <w:adjustRightInd/>
              <w:spacing w:line="326" w:lineRule="atLeast"/>
              <w:ind w:left="326"/>
              <w:rPr>
                <w:rFonts w:ascii="Arial" w:eastAsia="Times New Roman" w:hAnsi="Arial" w:cs="Arial"/>
                <w:color w:val="000000"/>
                <w:sz w:val="19"/>
                <w:szCs w:val="19"/>
                <w:lang w:eastAsia="sv-SE"/>
              </w:rPr>
            </w:pPr>
            <w:r w:rsidRPr="00E76B9A">
              <w:rPr>
                <w:rFonts w:ascii="Arial" w:eastAsia="Times New Roman" w:hAnsi="Arial" w:cs="Arial"/>
                <w:i/>
                <w:iCs/>
                <w:color w:val="000000"/>
                <w:sz w:val="19"/>
                <w:lang w:eastAsia="sv-SE"/>
              </w:rPr>
              <w:t>•</w:t>
            </w:r>
            <w:r w:rsidRPr="00E76B9A">
              <w:rPr>
                <w:rFonts w:eastAsia="Times New Roman"/>
                <w:i/>
                <w:iCs/>
                <w:color w:val="000000"/>
                <w:sz w:val="19"/>
                <w:lang w:eastAsia="sv-SE"/>
              </w:rPr>
              <w:t>       </w:t>
            </w:r>
            <w:r w:rsidRPr="00E76B9A">
              <w:rPr>
                <w:rFonts w:ascii="Arial" w:eastAsia="Times New Roman" w:hAnsi="Arial" w:cs="Arial"/>
                <w:i/>
                <w:iCs/>
                <w:color w:val="000000"/>
                <w:sz w:val="19"/>
                <w:lang w:eastAsia="sv-SE"/>
              </w:rPr>
              <w:t>Confirm the WA at RAN1 NR AH#2</w:t>
            </w:r>
          </w:p>
          <w:p w:rsidR="00E76B9A" w:rsidRPr="00E76B9A" w:rsidRDefault="00E76B9A" w:rsidP="00E76B9A">
            <w:pPr>
              <w:shd w:val="clear" w:color="auto" w:fill="FFFFFF"/>
              <w:adjustRightInd/>
              <w:spacing w:line="326" w:lineRule="atLeast"/>
              <w:ind w:left="978"/>
              <w:rPr>
                <w:rFonts w:ascii="Arial" w:eastAsia="Times New Roman" w:hAnsi="Arial" w:cs="Arial"/>
                <w:color w:val="000000"/>
                <w:sz w:val="19"/>
                <w:szCs w:val="19"/>
                <w:lang w:eastAsia="sv-SE"/>
              </w:rPr>
            </w:pPr>
            <w:r w:rsidRPr="00E76B9A">
              <w:rPr>
                <w:rFonts w:ascii="Arial" w:eastAsia="Times New Roman" w:hAnsi="Arial" w:cs="Arial"/>
                <w:i/>
                <w:iCs/>
                <w:color w:val="000000"/>
                <w:sz w:val="19"/>
                <w:lang w:eastAsia="sv-SE"/>
              </w:rPr>
              <w:t>–</w:t>
            </w:r>
            <w:r w:rsidRPr="00E76B9A">
              <w:rPr>
                <w:rFonts w:eastAsia="Times New Roman"/>
                <w:i/>
                <w:iCs/>
                <w:color w:val="000000"/>
                <w:sz w:val="19"/>
                <w:lang w:eastAsia="sv-SE"/>
              </w:rPr>
              <w:t>      </w:t>
            </w:r>
            <w:r w:rsidRPr="00E76B9A">
              <w:rPr>
                <w:rFonts w:ascii="Arial" w:eastAsia="Times New Roman" w:hAnsi="Arial" w:cs="Arial"/>
                <w:i/>
                <w:iCs/>
                <w:color w:val="000000"/>
                <w:sz w:val="19"/>
                <w:lang w:eastAsia="sv-SE"/>
              </w:rPr>
              <w:t>HARQ-ACK transmission related to multiple DL component carriers is supported for DL component carriers operating with the same and different numerology</w:t>
            </w:r>
          </w:p>
          <w:p w:rsidR="00E76B9A" w:rsidRPr="00E76B9A" w:rsidRDefault="00E76B9A" w:rsidP="00E76B9A">
            <w:pPr>
              <w:shd w:val="clear" w:color="auto" w:fill="FFFFFF"/>
              <w:adjustRightInd/>
              <w:spacing w:line="326" w:lineRule="atLeast"/>
              <w:ind w:left="1630"/>
              <w:rPr>
                <w:rFonts w:ascii="Arial" w:eastAsia="Times New Roman" w:hAnsi="Arial" w:cs="Arial"/>
                <w:color w:val="000000"/>
                <w:sz w:val="19"/>
                <w:szCs w:val="19"/>
                <w:lang w:eastAsia="sv-SE"/>
              </w:rPr>
            </w:pPr>
            <w:r w:rsidRPr="00E76B9A">
              <w:rPr>
                <w:rFonts w:ascii="Arial" w:eastAsia="Times New Roman" w:hAnsi="Arial" w:cs="Arial"/>
                <w:i/>
                <w:iCs/>
                <w:color w:val="000000"/>
                <w:sz w:val="19"/>
                <w:lang w:eastAsia="sv-SE"/>
              </w:rPr>
              <w:t>•</w:t>
            </w:r>
            <w:r w:rsidRPr="00E76B9A">
              <w:rPr>
                <w:rFonts w:eastAsia="Times New Roman"/>
                <w:i/>
                <w:iCs/>
                <w:color w:val="000000"/>
                <w:sz w:val="19"/>
                <w:lang w:eastAsia="sv-SE"/>
              </w:rPr>
              <w:t>       </w:t>
            </w:r>
            <w:r w:rsidRPr="00E76B9A">
              <w:rPr>
                <w:rFonts w:ascii="Arial" w:eastAsia="Times New Roman" w:hAnsi="Arial" w:cs="Arial"/>
                <w:i/>
                <w:iCs/>
                <w:color w:val="000000"/>
                <w:sz w:val="19"/>
                <w:lang w:eastAsia="sv-SE"/>
              </w:rPr>
              <w:t>The time granularity of a HARQ-ACK transmission on PUCCH, indicated in the DCI scheduling the PDSCH, is based on the numerology of PUCCH transmission</w:t>
            </w:r>
          </w:p>
        </w:tc>
      </w:tr>
    </w:tbl>
    <w:p w:rsidR="005B4F4C" w:rsidRDefault="005B4F4C" w:rsidP="00CA5965">
      <w:pPr>
        <w:rPr>
          <w:lang w:val="en-GB" w:eastAsia="en-US"/>
        </w:rPr>
      </w:pPr>
    </w:p>
    <w:p w:rsidR="00CA6F56" w:rsidRDefault="005B4F4C" w:rsidP="00CA5965">
      <w:pPr>
        <w:rPr>
          <w:lang w:val="en-GB"/>
        </w:rPr>
      </w:pPr>
      <w:r>
        <w:rPr>
          <w:lang w:val="en-GB" w:eastAsia="en-US"/>
        </w:rPr>
        <w:t xml:space="preserve">All timings </w:t>
      </w:r>
      <w:r w:rsidR="0009005F">
        <w:rPr>
          <w:lang w:val="en-GB" w:eastAsia="en-US"/>
        </w:rPr>
        <w:t xml:space="preserve">(k1 values) </w:t>
      </w:r>
      <w:r>
        <w:rPr>
          <w:lang w:val="en-GB" w:eastAsia="en-US"/>
        </w:rPr>
        <w:t xml:space="preserve">are defined </w:t>
      </w:r>
      <w:r w:rsidR="0009005F">
        <w:rPr>
          <w:lang w:val="en-GB" w:eastAsia="en-US"/>
        </w:rPr>
        <w:t xml:space="preserve">per CC and </w:t>
      </w:r>
      <w:r>
        <w:rPr>
          <w:lang w:val="en-GB" w:eastAsia="en-US"/>
        </w:rPr>
        <w:t xml:space="preserve">relatively to the numerology being used for the PUCCH in the uplink and all timings can be set individually in </w:t>
      </w:r>
      <w:r w:rsidR="0009005F">
        <w:rPr>
          <w:lang w:val="en-GB" w:eastAsia="en-US"/>
        </w:rPr>
        <w:t xml:space="preserve">for each cell. </w:t>
      </w:r>
      <w:r w:rsidR="00CA6F56">
        <w:rPr>
          <w:lang w:val="en-GB" w:eastAsia="en-US"/>
        </w:rPr>
        <w:t>A</w:t>
      </w:r>
      <w:r w:rsidR="0009005F">
        <w:rPr>
          <w:lang w:val="en-GB" w:eastAsia="en-US"/>
        </w:rPr>
        <w:t xml:space="preserve">n example </w:t>
      </w:r>
      <w:r w:rsidR="00F8498F">
        <w:rPr>
          <w:lang w:val="en-GB" w:eastAsia="en-US"/>
        </w:rPr>
        <w:t>with for 4 DL slots at</w:t>
      </w:r>
      <w:r w:rsidR="00CA6F56">
        <w:rPr>
          <w:lang w:val="en-GB" w:eastAsia="en-US"/>
        </w:rPr>
        <w:t xml:space="preserve"> SCS = 30 kHz being </w:t>
      </w:r>
      <w:r w:rsidR="00F8498F">
        <w:rPr>
          <w:lang w:val="en-GB" w:eastAsia="en-US"/>
        </w:rPr>
        <w:t>acknowledged in one UL slot at</w:t>
      </w:r>
      <w:r w:rsidR="00CA6F56">
        <w:rPr>
          <w:lang w:val="en-GB" w:eastAsia="en-US"/>
        </w:rPr>
        <w:t xml:space="preserve"> SCS = 15 kHz is given below. </w:t>
      </w:r>
      <w:r w:rsidR="00F8498F">
        <w:rPr>
          <w:lang w:val="en-GB" w:eastAsia="en-US"/>
        </w:rPr>
        <w:t xml:space="preserve">In the first two slots </w:t>
      </w:r>
      <w:r w:rsidR="00CA6F56">
        <w:rPr>
          <w:lang w:val="en-GB" w:eastAsia="en-US"/>
        </w:rPr>
        <w:t xml:space="preserve">K1=2 </w:t>
      </w:r>
      <w:r w:rsidR="00F8498F">
        <w:rPr>
          <w:lang w:val="en-GB" w:eastAsia="en-US"/>
        </w:rPr>
        <w:t xml:space="preserve">is </w:t>
      </w:r>
      <w:r w:rsidR="00CA6F56">
        <w:rPr>
          <w:lang w:val="en-GB" w:eastAsia="en-US"/>
        </w:rPr>
        <w:t>indicated and</w:t>
      </w:r>
      <w:r w:rsidR="00F8498F">
        <w:rPr>
          <w:lang w:val="en-GB" w:eastAsia="en-US"/>
        </w:rPr>
        <w:t xml:space="preserve"> in</w:t>
      </w:r>
      <w:r w:rsidR="00CA6F56">
        <w:rPr>
          <w:lang w:val="en-GB" w:eastAsia="en-US"/>
        </w:rPr>
        <w:t xml:space="preserve"> the second two slots K1=1</w:t>
      </w:r>
      <w:r w:rsidR="00F8498F">
        <w:rPr>
          <w:lang w:val="en-GB" w:eastAsia="en-US"/>
        </w:rPr>
        <w:t xml:space="preserve"> is indicated</w:t>
      </w:r>
      <w:r w:rsidR="00CA6F56">
        <w:rPr>
          <w:lang w:val="en-GB" w:eastAsia="en-US"/>
        </w:rPr>
        <w:t>. The same concept is also applied for SUL and has no specification impact.</w:t>
      </w:r>
    </w:p>
    <w:p w:rsidR="00D60817" w:rsidRDefault="00D60817" w:rsidP="00D60817">
      <w:pPr>
        <w:jc w:val="center"/>
        <w:rPr>
          <w:lang w:val="en-GB"/>
        </w:rPr>
      </w:pPr>
      <w:r>
        <w:object w:dxaOrig="7218" w:dyaOrig="2172">
          <v:shape id="_x0000_i1028" type="#_x0000_t75" style="width:360.55pt;height:108.55pt" o:ole="">
            <v:imagedata r:id="rId16" o:title=""/>
          </v:shape>
          <o:OLEObject Type="Embed" ProgID="Visio.Drawing.11" ShapeID="_x0000_i1028" DrawAspect="Content" ObjectID="_1574407764" r:id="rId17"/>
        </w:object>
      </w:r>
    </w:p>
    <w:p w:rsidR="00F8498F" w:rsidRDefault="00F8498F" w:rsidP="00603FDF">
      <w:pPr>
        <w:pStyle w:val="Caption"/>
        <w:jc w:val="center"/>
        <w:rPr>
          <w:b w:val="0"/>
          <w:i/>
          <w:u w:val="single"/>
        </w:rPr>
      </w:pPr>
      <w:r>
        <w:t xml:space="preserve">Figure </w:t>
      </w:r>
      <w:fldSimple w:instr=" SEQ Figure \* ARABIC ">
        <w:r>
          <w:rPr>
            <w:noProof/>
          </w:rPr>
          <w:t>5</w:t>
        </w:r>
      </w:fldSimple>
      <w:r>
        <w:t xml:space="preserve"> </w:t>
      </w:r>
      <w:r w:rsidR="00603FDF">
        <w:t>–</w:t>
      </w:r>
      <w:r>
        <w:t xml:space="preserve"> </w:t>
      </w:r>
      <w:r w:rsidR="00603FDF">
        <w:t>HARQ timing with different UL and DL numerologies</w:t>
      </w:r>
    </w:p>
    <w:p w:rsidR="009C2155" w:rsidRPr="009C2155" w:rsidRDefault="002D146D" w:rsidP="009C2155">
      <w:pPr>
        <w:rPr>
          <w:i/>
          <w:lang w:val="en-GB"/>
        </w:rPr>
      </w:pPr>
      <w:r>
        <w:rPr>
          <w:b/>
          <w:i/>
          <w:u w:val="single"/>
          <w:lang w:val="en-GB"/>
        </w:rPr>
        <w:t>Observation 6</w:t>
      </w:r>
      <w:r w:rsidR="00CA6F56" w:rsidRPr="00F451D7">
        <w:rPr>
          <w:b/>
          <w:i/>
          <w:u w:val="single"/>
          <w:lang w:val="en-GB"/>
        </w:rPr>
        <w:t>:</w:t>
      </w:r>
      <w:r w:rsidR="00CA6F56" w:rsidRPr="00F451D7">
        <w:rPr>
          <w:b/>
          <w:i/>
          <w:lang w:val="en-GB"/>
        </w:rPr>
        <w:t xml:space="preserve"> The HARQ</w:t>
      </w:r>
      <w:r w:rsidR="00CA6F56">
        <w:rPr>
          <w:b/>
          <w:i/>
          <w:lang w:val="en-GB"/>
        </w:rPr>
        <w:t xml:space="preserve"> timing</w:t>
      </w:r>
      <w:r w:rsidR="00CA6F56" w:rsidRPr="00F451D7">
        <w:rPr>
          <w:b/>
          <w:i/>
          <w:lang w:val="en-GB"/>
        </w:rPr>
        <w:t xml:space="preserve"> </w:t>
      </w:r>
      <w:r w:rsidR="00CA6F56">
        <w:rPr>
          <w:b/>
          <w:i/>
          <w:lang w:val="en-GB"/>
        </w:rPr>
        <w:t>is not affected when different numerologies are included in one PUCCH group.</w:t>
      </w:r>
      <w:r w:rsidR="00CA6F56" w:rsidRPr="00F451D7">
        <w:rPr>
          <w:i/>
          <w:lang w:val="en-GB"/>
        </w:rPr>
        <w:t xml:space="preserve">     </w:t>
      </w:r>
    </w:p>
    <w:p w:rsidR="002207E3" w:rsidRDefault="002207E3" w:rsidP="00056071">
      <w:pPr>
        <w:pStyle w:val="Heading2"/>
        <w:numPr>
          <w:ilvl w:val="0"/>
          <w:numId w:val="12"/>
        </w:numPr>
        <w:spacing w:before="60" w:after="60"/>
        <w:ind w:hanging="644"/>
      </w:pPr>
      <w:r>
        <w:t>Conclusions</w:t>
      </w:r>
    </w:p>
    <w:p w:rsidR="002948BE" w:rsidRDefault="009C2155" w:rsidP="009C2155">
      <w:pPr>
        <w:rPr>
          <w:lang w:val="en-GB" w:eastAsia="en-US"/>
        </w:rPr>
      </w:pPr>
      <w:r>
        <w:rPr>
          <w:lang w:val="en-GB" w:eastAsia="en-US"/>
        </w:rPr>
        <w:t xml:space="preserve">In this contribution we </w:t>
      </w:r>
      <w:r w:rsidR="00603FDF">
        <w:rPr>
          <w:lang w:val="en-GB" w:eastAsia="en-US"/>
        </w:rPr>
        <w:t xml:space="preserve">discuss the necessity of CA with mixed numerologies. </w:t>
      </w:r>
      <w:r w:rsidR="00E515E0">
        <w:rPr>
          <w:lang w:val="en-GB" w:eastAsia="en-US"/>
        </w:rPr>
        <w:t xml:space="preserve">If not supported, different already agreed band combinations of mmW and below 1 GHz would be precluded and other typical band combinations </w:t>
      </w:r>
      <w:r w:rsidR="002948BE">
        <w:rPr>
          <w:lang w:val="en-GB" w:eastAsia="en-US"/>
        </w:rPr>
        <w:t xml:space="preserve">below 6 GHz </w:t>
      </w:r>
      <w:r w:rsidR="00E515E0">
        <w:rPr>
          <w:lang w:val="en-GB" w:eastAsia="en-US"/>
        </w:rPr>
        <w:t xml:space="preserve">suffer a large performance loss. </w:t>
      </w:r>
      <w:r w:rsidR="00603FDF">
        <w:rPr>
          <w:lang w:val="en-GB" w:eastAsia="en-US"/>
        </w:rPr>
        <w:t xml:space="preserve">A precondition </w:t>
      </w:r>
      <w:r w:rsidR="002948BE">
        <w:rPr>
          <w:lang w:val="en-GB" w:eastAsia="en-US"/>
        </w:rPr>
        <w:t>to operate</w:t>
      </w:r>
      <w:r w:rsidR="00E515E0">
        <w:rPr>
          <w:lang w:val="en-GB" w:eastAsia="en-US"/>
        </w:rPr>
        <w:t xml:space="preserve"> CA with mixed numerologies </w:t>
      </w:r>
      <w:r w:rsidR="00603FDF">
        <w:rPr>
          <w:lang w:val="en-GB" w:eastAsia="en-US"/>
        </w:rPr>
        <w:t xml:space="preserve">is to allow different numerologies within the same PUCCH group. It is shown that this is already supported from the RAN1 perspective. Therefore the network should be allowed to configure </w:t>
      </w:r>
      <w:r w:rsidR="00D66AC6">
        <w:rPr>
          <w:lang w:val="en-GB" w:eastAsia="en-US"/>
        </w:rPr>
        <w:t xml:space="preserve">NR </w:t>
      </w:r>
      <w:r w:rsidR="00603FDF">
        <w:rPr>
          <w:lang w:val="en-GB" w:eastAsia="en-US"/>
        </w:rPr>
        <w:t xml:space="preserve">CA with mixed numerologies in downlink. </w:t>
      </w:r>
    </w:p>
    <w:p w:rsidR="002948BE" w:rsidRDefault="002948BE" w:rsidP="009C2155">
      <w:pPr>
        <w:rPr>
          <w:lang w:val="en-GB" w:eastAsia="en-US"/>
        </w:rPr>
      </w:pPr>
    </w:p>
    <w:p w:rsidR="009C2155" w:rsidRDefault="002948BE" w:rsidP="009C2155">
      <w:pPr>
        <w:rPr>
          <w:lang w:val="en-GB" w:eastAsia="en-US"/>
        </w:rPr>
      </w:pPr>
      <w:r>
        <w:rPr>
          <w:lang w:val="en-GB" w:eastAsia="en-US"/>
        </w:rPr>
        <w:t>For the necessity</w:t>
      </w:r>
      <w:r w:rsidR="001B5A64">
        <w:rPr>
          <w:lang w:val="en-GB" w:eastAsia="en-US"/>
        </w:rPr>
        <w:t xml:space="preserve"> to operate</w:t>
      </w:r>
      <w:r>
        <w:rPr>
          <w:lang w:val="en-GB" w:eastAsia="en-US"/>
        </w:rPr>
        <w:t xml:space="preserve"> CA with different numerologies w</w:t>
      </w:r>
      <w:r w:rsidR="00603FDF">
        <w:rPr>
          <w:lang w:val="en-GB" w:eastAsia="en-US"/>
        </w:rPr>
        <w:t>e make the following obs</w:t>
      </w:r>
      <w:r>
        <w:rPr>
          <w:lang w:val="en-GB" w:eastAsia="en-US"/>
        </w:rPr>
        <w:t>ervations:</w:t>
      </w:r>
    </w:p>
    <w:p w:rsidR="0087112F" w:rsidRDefault="0087112F" w:rsidP="00061723">
      <w:pPr>
        <w:spacing w:beforeLines="50" w:afterLines="50"/>
        <w:jc w:val="both"/>
        <w:rPr>
          <w:rFonts w:eastAsia="Arial Unicode MS" w:cs="Arial"/>
          <w:b/>
          <w:i/>
          <w:kern w:val="2"/>
          <w:szCs w:val="20"/>
          <w:lang w:val="en-GB"/>
        </w:rPr>
      </w:pPr>
      <w:r w:rsidRPr="00D60342">
        <w:rPr>
          <w:rFonts w:eastAsia="Arial Unicode MS" w:cs="Arial"/>
          <w:b/>
          <w:i/>
          <w:kern w:val="2"/>
          <w:szCs w:val="20"/>
          <w:u w:val="single"/>
          <w:lang w:val="en-GB"/>
        </w:rPr>
        <w:t>Observation 1:</w:t>
      </w:r>
      <w:r w:rsidRPr="00D60342">
        <w:rPr>
          <w:rFonts w:eastAsia="Arial Unicode MS" w:cs="Arial"/>
          <w:b/>
          <w:i/>
          <w:kern w:val="2"/>
          <w:szCs w:val="20"/>
          <w:lang w:val="en-GB"/>
        </w:rPr>
        <w:t xml:space="preserve"> </w:t>
      </w:r>
      <w:r w:rsidRPr="002948BE">
        <w:rPr>
          <w:rFonts w:eastAsia="Arial Unicode MS" w:cs="Arial"/>
          <w:i/>
          <w:kern w:val="2"/>
          <w:szCs w:val="20"/>
          <w:lang w:val="en-GB"/>
        </w:rPr>
        <w:t>Allowing only the same numerology in one PUCCH group implies for NR-CA that all DL CCs need to use the same numerology.</w:t>
      </w:r>
      <w:r w:rsidRPr="00D60342">
        <w:rPr>
          <w:rFonts w:eastAsia="Arial Unicode MS" w:cs="Arial"/>
          <w:b/>
          <w:i/>
          <w:kern w:val="2"/>
          <w:szCs w:val="20"/>
          <w:lang w:val="en-GB"/>
        </w:rPr>
        <w:t xml:space="preserve"> </w:t>
      </w:r>
    </w:p>
    <w:p w:rsidR="00B46B7D" w:rsidRPr="00B46B7D" w:rsidRDefault="00B46B7D" w:rsidP="00061723">
      <w:pPr>
        <w:spacing w:beforeLines="50" w:afterLines="50"/>
        <w:jc w:val="both"/>
        <w:rPr>
          <w:rFonts w:eastAsia="Arial Unicode MS" w:cs="Arial"/>
          <w:b/>
          <w:i/>
          <w:kern w:val="2"/>
          <w:szCs w:val="20"/>
          <w:lang w:val="en-GB"/>
        </w:rPr>
      </w:pPr>
      <w:r>
        <w:rPr>
          <w:rFonts w:eastAsia="Arial Unicode MS" w:cs="Arial"/>
          <w:b/>
          <w:i/>
          <w:kern w:val="2"/>
          <w:szCs w:val="20"/>
          <w:u w:val="single"/>
          <w:lang w:val="en-GB"/>
        </w:rPr>
        <w:t>Observation 2</w:t>
      </w:r>
      <w:r w:rsidRPr="00D60342">
        <w:rPr>
          <w:rFonts w:eastAsia="Arial Unicode MS" w:cs="Arial"/>
          <w:b/>
          <w:i/>
          <w:kern w:val="2"/>
          <w:szCs w:val="20"/>
          <w:u w:val="single"/>
          <w:lang w:val="en-GB"/>
        </w:rPr>
        <w:t>:</w:t>
      </w:r>
      <w:r w:rsidRPr="00D60342">
        <w:rPr>
          <w:rFonts w:eastAsia="Arial Unicode MS" w:cs="Arial"/>
          <w:b/>
          <w:i/>
          <w:kern w:val="2"/>
          <w:szCs w:val="20"/>
          <w:lang w:val="en-GB"/>
        </w:rPr>
        <w:t xml:space="preserve"> </w:t>
      </w:r>
      <w:r w:rsidRPr="002948BE">
        <w:rPr>
          <w:rFonts w:eastAsia="Arial Unicode MS" w:cs="Arial"/>
          <w:i/>
          <w:kern w:val="2"/>
          <w:szCs w:val="20"/>
          <w:lang w:val="en-GB"/>
        </w:rPr>
        <w:t>With the current RAN4 agreements and assumptions, being forced using the same numerology in all CCs precludes band co</w:t>
      </w:r>
      <w:r w:rsidR="00E515E0" w:rsidRPr="002948BE">
        <w:rPr>
          <w:rFonts w:eastAsia="Arial Unicode MS" w:cs="Arial"/>
          <w:i/>
          <w:kern w:val="2"/>
          <w:szCs w:val="20"/>
          <w:lang w:val="en-GB"/>
        </w:rPr>
        <w:t>mbinations below 1 GHz + above 24</w:t>
      </w:r>
      <w:r w:rsidRPr="002948BE">
        <w:rPr>
          <w:rFonts w:eastAsia="Arial Unicode MS" w:cs="Arial"/>
          <w:i/>
          <w:kern w:val="2"/>
          <w:szCs w:val="20"/>
          <w:lang w:val="en-GB"/>
        </w:rPr>
        <w:t xml:space="preserve"> GHz.</w:t>
      </w:r>
    </w:p>
    <w:p w:rsidR="002948BE" w:rsidRDefault="002948BE" w:rsidP="002948BE">
      <w:pPr>
        <w:shd w:val="clear" w:color="auto" w:fill="FFFFFF"/>
        <w:adjustRightInd/>
        <w:spacing w:line="315" w:lineRule="atLeast"/>
        <w:rPr>
          <w:rFonts w:eastAsia="Arial Unicode MS" w:cs="Arial"/>
          <w:b/>
          <w:i/>
          <w:kern w:val="2"/>
          <w:szCs w:val="20"/>
          <w:lang w:val="en-GB"/>
        </w:rPr>
      </w:pPr>
      <w:r>
        <w:rPr>
          <w:rFonts w:eastAsia="Arial Unicode MS" w:cs="Arial"/>
          <w:b/>
          <w:i/>
          <w:kern w:val="2"/>
          <w:szCs w:val="20"/>
          <w:u w:val="single"/>
          <w:lang w:val="en-GB"/>
        </w:rPr>
        <w:t>Observation 3</w:t>
      </w:r>
      <w:r w:rsidRPr="00B72A76">
        <w:rPr>
          <w:rFonts w:eastAsia="Arial Unicode MS" w:cs="Arial"/>
          <w:b/>
          <w:i/>
          <w:kern w:val="2"/>
          <w:szCs w:val="20"/>
          <w:u w:val="single"/>
          <w:lang w:val="en-GB"/>
        </w:rPr>
        <w:t>:</w:t>
      </w:r>
      <w:r w:rsidRPr="00B72A76">
        <w:rPr>
          <w:rFonts w:eastAsia="Arial Unicode MS" w:cs="Arial"/>
          <w:b/>
          <w:i/>
          <w:kern w:val="2"/>
          <w:szCs w:val="20"/>
          <w:lang w:val="en-GB"/>
        </w:rPr>
        <w:t xml:space="preserve"> </w:t>
      </w:r>
      <w:r w:rsidRPr="002948BE">
        <w:rPr>
          <w:rFonts w:eastAsia="Arial Unicode MS" w:cs="Arial"/>
          <w:i/>
          <w:kern w:val="2"/>
          <w:szCs w:val="20"/>
          <w:lang w:val="en-GB"/>
        </w:rPr>
        <w:t xml:space="preserve">For a macro deployment </w:t>
      </w:r>
      <w:r w:rsidR="001B5A64">
        <w:rPr>
          <w:rFonts w:eastAsia="Arial Unicode MS" w:cs="Arial"/>
          <w:i/>
          <w:kern w:val="2"/>
          <w:szCs w:val="20"/>
          <w:lang w:val="en-GB"/>
        </w:rPr>
        <w:t xml:space="preserve">example </w:t>
      </w:r>
      <w:r w:rsidRPr="002948BE">
        <w:rPr>
          <w:rFonts w:eastAsia="Arial Unicode MS" w:cs="Arial"/>
          <w:i/>
          <w:kern w:val="2"/>
          <w:szCs w:val="20"/>
          <w:lang w:val="en-GB"/>
        </w:rPr>
        <w:t>at 700 MHz, a large number of UEs (about 25% according to our simulation results) experience such a high SNR that 15 kHz SCS offers clear performance gains over 30 kHz SCS.</w:t>
      </w:r>
    </w:p>
    <w:p w:rsidR="000C4FA4" w:rsidRPr="002948BE" w:rsidRDefault="000C4FA4" w:rsidP="000C4FA4">
      <w:pPr>
        <w:shd w:val="clear" w:color="auto" w:fill="FFFFFF"/>
        <w:adjustRightInd/>
        <w:spacing w:line="315" w:lineRule="atLeast"/>
        <w:rPr>
          <w:rFonts w:eastAsia="Arial Unicode MS" w:cs="Arial"/>
          <w:b/>
          <w:i/>
          <w:kern w:val="2"/>
          <w:szCs w:val="20"/>
          <w:u w:val="single"/>
          <w:lang w:val="en-GB"/>
        </w:rPr>
      </w:pPr>
    </w:p>
    <w:p w:rsidR="000C4FA4" w:rsidRPr="002948BE" w:rsidRDefault="000C4FA4" w:rsidP="000C4FA4">
      <w:pPr>
        <w:shd w:val="clear" w:color="auto" w:fill="FFFFFF"/>
        <w:adjustRightInd/>
        <w:spacing w:line="315" w:lineRule="atLeast"/>
        <w:rPr>
          <w:rFonts w:eastAsia="Arial Unicode MS" w:cs="Arial"/>
          <w:i/>
          <w:kern w:val="2"/>
          <w:szCs w:val="20"/>
        </w:rPr>
      </w:pPr>
      <w:r>
        <w:rPr>
          <w:rFonts w:eastAsia="Arial Unicode MS" w:cs="Arial"/>
          <w:b/>
          <w:i/>
          <w:kern w:val="2"/>
          <w:szCs w:val="20"/>
          <w:u w:val="single"/>
        </w:rPr>
        <w:t>Observation 4</w:t>
      </w:r>
      <w:r w:rsidRPr="00F13B53">
        <w:rPr>
          <w:rFonts w:eastAsia="Arial Unicode MS" w:cs="Arial"/>
          <w:b/>
          <w:i/>
          <w:kern w:val="2"/>
          <w:szCs w:val="20"/>
          <w:u w:val="single"/>
        </w:rPr>
        <w:t>:</w:t>
      </w:r>
      <w:r w:rsidRPr="00E515E0">
        <w:rPr>
          <w:rFonts w:eastAsia="Arial Unicode MS" w:cs="Arial"/>
          <w:b/>
          <w:i/>
          <w:kern w:val="2"/>
          <w:szCs w:val="20"/>
        </w:rPr>
        <w:t xml:space="preserve"> </w:t>
      </w:r>
      <w:r w:rsidRPr="002948BE">
        <w:rPr>
          <w:rFonts w:eastAsia="Arial Unicode MS" w:cs="Arial"/>
          <w:i/>
          <w:kern w:val="2"/>
          <w:szCs w:val="20"/>
        </w:rPr>
        <w:t>For band combinations below 6 GHz the performance degradation is significant if all bands are forced to use the same numerology.</w:t>
      </w:r>
    </w:p>
    <w:p w:rsidR="000C4FA4" w:rsidRPr="002948BE" w:rsidRDefault="000C4FA4" w:rsidP="000C4FA4">
      <w:pPr>
        <w:pStyle w:val="ListParagraph"/>
        <w:numPr>
          <w:ilvl w:val="0"/>
          <w:numId w:val="45"/>
        </w:numPr>
        <w:shd w:val="clear" w:color="auto" w:fill="FFFFFF"/>
        <w:adjustRightInd/>
        <w:spacing w:line="315" w:lineRule="atLeast"/>
        <w:ind w:firstLineChars="0"/>
        <w:rPr>
          <w:rFonts w:eastAsia="Arial Unicode MS" w:cs="Arial"/>
          <w:i/>
          <w:kern w:val="2"/>
          <w:szCs w:val="20"/>
        </w:rPr>
      </w:pPr>
      <w:r w:rsidRPr="002948BE">
        <w:rPr>
          <w:rFonts w:eastAsia="Arial Unicode MS" w:cs="Arial"/>
          <w:i/>
          <w:kern w:val="2"/>
          <w:szCs w:val="20"/>
        </w:rPr>
        <w:t>For example, the higher frequency band would need to use 30 kHz for latency and performance reasons whereas in a low frequency band (e.g. 700 MHz), for the commonly used channel model TDL A with DS=1000ns, the 15 kHz SCS clearly outperforms the 30 kHz in coverage and throughput for medium to high SNR regions.</w:t>
      </w:r>
    </w:p>
    <w:p w:rsidR="00F8498F" w:rsidRDefault="00F8498F" w:rsidP="0087112F">
      <w:pPr>
        <w:rPr>
          <w:b/>
          <w:i/>
          <w:u w:val="single"/>
          <w:lang w:val="en-GB"/>
        </w:rPr>
      </w:pPr>
    </w:p>
    <w:p w:rsidR="002948BE" w:rsidRPr="002948BE" w:rsidRDefault="00F94183" w:rsidP="0087112F">
      <w:pPr>
        <w:rPr>
          <w:lang w:val="en-GB"/>
        </w:rPr>
      </w:pPr>
      <w:r>
        <w:rPr>
          <w:lang w:val="en-GB"/>
        </w:rPr>
        <w:t xml:space="preserve">After we have observed that different numerologies need to be used in one PUCCH group, </w:t>
      </w:r>
      <w:r w:rsidR="002948BE">
        <w:rPr>
          <w:lang w:val="en-GB"/>
        </w:rPr>
        <w:t>we discus</w:t>
      </w:r>
      <w:r>
        <w:rPr>
          <w:lang w:val="en-GB"/>
        </w:rPr>
        <w:t>s how this is</w:t>
      </w:r>
      <w:r w:rsidR="002948BE">
        <w:rPr>
          <w:lang w:val="en-GB"/>
        </w:rPr>
        <w:t xml:space="preserve"> captured in the standard and make the following observations:</w:t>
      </w:r>
    </w:p>
    <w:p w:rsidR="0087112F" w:rsidRPr="00F451D7" w:rsidRDefault="00B46B7D" w:rsidP="0087112F">
      <w:pPr>
        <w:rPr>
          <w:i/>
          <w:lang w:val="en-GB"/>
        </w:rPr>
      </w:pPr>
      <w:r>
        <w:rPr>
          <w:b/>
          <w:i/>
          <w:u w:val="single"/>
          <w:lang w:val="en-GB"/>
        </w:rPr>
        <w:lastRenderedPageBreak/>
        <w:t>Observation 5</w:t>
      </w:r>
      <w:r w:rsidR="0087112F" w:rsidRPr="00F451D7">
        <w:rPr>
          <w:b/>
          <w:i/>
          <w:u w:val="single"/>
          <w:lang w:val="en-GB"/>
        </w:rPr>
        <w:t>:</w:t>
      </w:r>
      <w:r w:rsidR="0087112F" w:rsidRPr="00F451D7">
        <w:rPr>
          <w:b/>
          <w:i/>
          <w:lang w:val="en-GB"/>
        </w:rPr>
        <w:t xml:space="preserve"> </w:t>
      </w:r>
      <w:r w:rsidR="0087112F" w:rsidRPr="002948BE">
        <w:rPr>
          <w:i/>
          <w:lang w:val="en-GB"/>
        </w:rPr>
        <w:t>The HARQ-A/N codebook design already includes mixed numerologies. It is equivalent to having different monitoring occasions for the same numerology.</w:t>
      </w:r>
      <w:r w:rsidR="0087112F" w:rsidRPr="00F451D7">
        <w:rPr>
          <w:i/>
          <w:lang w:val="en-GB"/>
        </w:rPr>
        <w:t xml:space="preserve">     </w:t>
      </w:r>
    </w:p>
    <w:p w:rsidR="00F8498F" w:rsidRDefault="00F8498F" w:rsidP="009C2155">
      <w:pPr>
        <w:rPr>
          <w:b/>
          <w:i/>
          <w:color w:val="000000" w:themeColor="text1"/>
          <w:u w:val="single"/>
          <w:lang w:val="en-GB"/>
        </w:rPr>
      </w:pPr>
    </w:p>
    <w:p w:rsidR="0087112F" w:rsidRPr="002948BE" w:rsidRDefault="00B46B7D" w:rsidP="009C2155">
      <w:pPr>
        <w:rPr>
          <w:i/>
          <w:color w:val="000000" w:themeColor="text1"/>
          <w:lang w:val="en-GB"/>
        </w:rPr>
      </w:pPr>
      <w:r>
        <w:rPr>
          <w:b/>
          <w:i/>
          <w:color w:val="000000" w:themeColor="text1"/>
          <w:u w:val="single"/>
          <w:lang w:val="en-GB"/>
        </w:rPr>
        <w:t>Observation 6</w:t>
      </w:r>
      <w:r w:rsidR="0087112F" w:rsidRPr="00F8498F">
        <w:rPr>
          <w:b/>
          <w:i/>
          <w:color w:val="000000" w:themeColor="text1"/>
          <w:u w:val="single"/>
          <w:lang w:val="en-GB"/>
        </w:rPr>
        <w:t>:</w:t>
      </w:r>
      <w:r w:rsidR="0087112F" w:rsidRPr="00F8498F">
        <w:rPr>
          <w:b/>
          <w:i/>
          <w:color w:val="000000" w:themeColor="text1"/>
          <w:lang w:val="en-GB"/>
        </w:rPr>
        <w:t xml:space="preserve"> </w:t>
      </w:r>
      <w:r w:rsidR="0087112F" w:rsidRPr="002948BE">
        <w:rPr>
          <w:i/>
          <w:color w:val="000000" w:themeColor="text1"/>
          <w:lang w:val="en-GB"/>
        </w:rPr>
        <w:t>The HARQ timing is not affected when different numerologies are included in one PUCCH group</w:t>
      </w:r>
    </w:p>
    <w:p w:rsidR="00F8498F" w:rsidRDefault="00F8498F" w:rsidP="0087112F">
      <w:pPr>
        <w:rPr>
          <w:b/>
          <w:i/>
          <w:u w:val="single"/>
          <w:lang w:val="en-GB"/>
        </w:rPr>
      </w:pPr>
    </w:p>
    <w:p w:rsidR="00F8498F" w:rsidRDefault="00F8498F" w:rsidP="0087112F">
      <w:pPr>
        <w:rPr>
          <w:lang w:val="en-GB" w:eastAsia="en-US"/>
        </w:rPr>
      </w:pPr>
      <w:r>
        <w:rPr>
          <w:lang w:val="en-GB" w:eastAsia="en-US"/>
        </w:rPr>
        <w:t xml:space="preserve">Based on the </w:t>
      </w:r>
      <w:r w:rsidR="002948BE">
        <w:rPr>
          <w:lang w:val="en-GB" w:eastAsia="en-US"/>
        </w:rPr>
        <w:t xml:space="preserve">above </w:t>
      </w:r>
      <w:r>
        <w:rPr>
          <w:lang w:val="en-GB" w:eastAsia="en-US"/>
        </w:rPr>
        <w:t xml:space="preserve">observations and </w:t>
      </w:r>
      <w:r w:rsidR="002948BE">
        <w:rPr>
          <w:lang w:val="en-GB" w:eastAsia="en-US"/>
        </w:rPr>
        <w:t xml:space="preserve">the </w:t>
      </w:r>
      <w:r w:rsidR="004E4117">
        <w:rPr>
          <w:lang w:val="en-GB" w:eastAsia="en-US"/>
        </w:rPr>
        <w:t xml:space="preserve">analysis in the document, we </w:t>
      </w:r>
      <w:r w:rsidR="00EE59AD">
        <w:rPr>
          <w:lang w:val="en-GB" w:eastAsia="en-US"/>
        </w:rPr>
        <w:t xml:space="preserve">make the following </w:t>
      </w:r>
      <w:r w:rsidR="004E4117">
        <w:rPr>
          <w:lang w:val="en-GB" w:eastAsia="en-US"/>
        </w:rPr>
        <w:t xml:space="preserve">conclusion and </w:t>
      </w:r>
      <w:r w:rsidR="00EE59AD">
        <w:rPr>
          <w:lang w:val="en-GB" w:eastAsia="en-US"/>
        </w:rPr>
        <w:t>proposal</w:t>
      </w:r>
      <w:r w:rsidR="00603FDF">
        <w:rPr>
          <w:lang w:val="en-GB" w:eastAsia="en-US"/>
        </w:rPr>
        <w:t>:</w:t>
      </w:r>
    </w:p>
    <w:p w:rsidR="00EE59AD" w:rsidRDefault="00EE59AD" w:rsidP="0087112F">
      <w:pPr>
        <w:rPr>
          <w:lang w:val="en-GB" w:eastAsia="en-US"/>
        </w:rPr>
      </w:pPr>
    </w:p>
    <w:tbl>
      <w:tblPr>
        <w:tblStyle w:val="TableGrid"/>
        <w:tblW w:w="0" w:type="auto"/>
        <w:tblLook w:val="04A0"/>
      </w:tblPr>
      <w:tblGrid>
        <w:gridCol w:w="9166"/>
      </w:tblGrid>
      <w:tr w:rsidR="00EE59AD" w:rsidTr="00EE59AD">
        <w:tc>
          <w:tcPr>
            <w:tcW w:w="9166" w:type="dxa"/>
          </w:tcPr>
          <w:p w:rsidR="00EE59AD" w:rsidRPr="00EE59AD" w:rsidRDefault="00EE59AD" w:rsidP="0087112F">
            <w:pPr>
              <w:rPr>
                <w:b/>
                <w:u w:val="single"/>
                <w:lang w:val="en-GB" w:eastAsia="en-US"/>
              </w:rPr>
            </w:pPr>
            <w:r w:rsidRPr="00EE59AD">
              <w:rPr>
                <w:b/>
                <w:u w:val="single"/>
                <w:lang w:val="en-GB" w:eastAsia="en-US"/>
              </w:rPr>
              <w:t>Conclusion:</w:t>
            </w:r>
          </w:p>
          <w:p w:rsidR="00EE59AD" w:rsidRPr="00EE59AD" w:rsidRDefault="00EE59AD" w:rsidP="00EE59AD">
            <w:pPr>
              <w:pStyle w:val="ListParagraph"/>
              <w:numPr>
                <w:ilvl w:val="0"/>
                <w:numId w:val="42"/>
              </w:numPr>
              <w:ind w:firstLineChars="0"/>
              <w:rPr>
                <w:lang w:val="en-GB" w:eastAsia="en-US"/>
              </w:rPr>
            </w:pPr>
            <w:r w:rsidRPr="00EE59AD">
              <w:rPr>
                <w:b/>
                <w:i/>
                <w:lang w:val="en-GB"/>
              </w:rPr>
              <w:t xml:space="preserve">Different numerologies in the same PUCCH group are </w:t>
            </w:r>
            <w:r>
              <w:rPr>
                <w:b/>
                <w:i/>
                <w:lang w:val="en-GB"/>
              </w:rPr>
              <w:t xml:space="preserve">already </w:t>
            </w:r>
            <w:r w:rsidRPr="00EE59AD">
              <w:rPr>
                <w:b/>
                <w:i/>
                <w:lang w:val="en-GB"/>
              </w:rPr>
              <w:t>supported by the RAN1 specification</w:t>
            </w:r>
            <w:r w:rsidRPr="00EE59AD">
              <w:rPr>
                <w:i/>
                <w:lang w:val="en-GB"/>
              </w:rPr>
              <w:t xml:space="preserve">  </w:t>
            </w:r>
          </w:p>
          <w:p w:rsidR="00EE59AD" w:rsidRDefault="00EE59AD" w:rsidP="0087112F">
            <w:pPr>
              <w:rPr>
                <w:lang w:val="en-GB" w:eastAsia="en-US"/>
              </w:rPr>
            </w:pPr>
            <w:r w:rsidRPr="00F50EE6">
              <w:rPr>
                <w:b/>
                <w:u w:val="single"/>
                <w:lang w:val="en-GB" w:eastAsia="en-US"/>
              </w:rPr>
              <w:t>Proposal</w:t>
            </w:r>
            <w:r>
              <w:rPr>
                <w:lang w:val="en-GB" w:eastAsia="en-US"/>
              </w:rPr>
              <w:t>:</w:t>
            </w:r>
          </w:p>
          <w:p w:rsidR="00EE59AD" w:rsidRDefault="00F50EE6" w:rsidP="0087112F">
            <w:pPr>
              <w:pStyle w:val="ListParagraph"/>
              <w:numPr>
                <w:ilvl w:val="0"/>
                <w:numId w:val="42"/>
              </w:numPr>
              <w:ind w:firstLineChars="0"/>
              <w:rPr>
                <w:b/>
                <w:i/>
                <w:szCs w:val="20"/>
                <w:lang w:val="en-GB" w:eastAsia="en-US"/>
              </w:rPr>
            </w:pPr>
            <w:r w:rsidRPr="002948BE">
              <w:rPr>
                <w:b/>
                <w:i/>
                <w:szCs w:val="20"/>
                <w:lang w:val="en-GB" w:eastAsia="en-US"/>
              </w:rPr>
              <w:t>The network shall be allowed to configure NR CA with different numerologies in one PUCCH group</w:t>
            </w:r>
          </w:p>
          <w:p w:rsidR="002948BE" w:rsidRPr="002948BE" w:rsidRDefault="002948BE" w:rsidP="002948BE">
            <w:pPr>
              <w:pStyle w:val="ListParagraph"/>
              <w:ind w:left="720" w:firstLineChars="0" w:firstLine="0"/>
              <w:rPr>
                <w:b/>
                <w:i/>
                <w:szCs w:val="20"/>
                <w:lang w:val="en-GB" w:eastAsia="en-US"/>
              </w:rPr>
            </w:pPr>
          </w:p>
        </w:tc>
      </w:tr>
    </w:tbl>
    <w:p w:rsidR="00EE59AD" w:rsidRDefault="00EE59AD" w:rsidP="0087112F">
      <w:pPr>
        <w:rPr>
          <w:b/>
          <w:i/>
          <w:u w:val="single"/>
          <w:lang w:val="en-GB"/>
        </w:rPr>
      </w:pPr>
    </w:p>
    <w:p w:rsidR="009F3BC6" w:rsidRPr="00861E5F" w:rsidRDefault="00861E5F" w:rsidP="00F50EE6">
      <w:pPr>
        <w:pStyle w:val="Heading1"/>
      </w:pPr>
      <w:r>
        <w:t>References</w:t>
      </w:r>
    </w:p>
    <w:p w:rsidR="0099216E" w:rsidRDefault="0099216E" w:rsidP="0099216E">
      <w:pPr>
        <w:ind w:left="1985" w:hanging="1985"/>
        <w:rPr>
          <w:rFonts w:eastAsia="MS Mincho"/>
          <w:bCs/>
          <w:szCs w:val="20"/>
          <w:lang w:eastAsia="ja-JP"/>
        </w:rPr>
      </w:pPr>
      <w:r>
        <w:rPr>
          <w:iCs/>
          <w:szCs w:val="20"/>
        </w:rPr>
        <w:t xml:space="preserve">[1] </w:t>
      </w:r>
      <w:r w:rsidR="00936AEF">
        <w:rPr>
          <w:iCs/>
          <w:szCs w:val="20"/>
        </w:rPr>
        <w:t>RP</w:t>
      </w:r>
      <w:r>
        <w:rPr>
          <w:iCs/>
          <w:szCs w:val="20"/>
        </w:rPr>
        <w:t>-172026, “</w:t>
      </w:r>
      <w:r w:rsidRPr="0099216E">
        <w:rPr>
          <w:rFonts w:eastAsia="MS Mincho"/>
          <w:bCs/>
          <w:szCs w:val="20"/>
          <w:lang w:eastAsia="ja-JP"/>
        </w:rPr>
        <w:t>Updated work plan of RAN 1 and 4 NR</w:t>
      </w:r>
      <w:r>
        <w:rPr>
          <w:rFonts w:eastAsia="MS Mincho"/>
          <w:bCs/>
          <w:szCs w:val="20"/>
          <w:lang w:eastAsia="ja-JP"/>
        </w:rPr>
        <w:t>”, TSG-RAN#77, Sapporo, September 2017</w:t>
      </w:r>
    </w:p>
    <w:p w:rsidR="005F6DCA" w:rsidRPr="005F6DCA" w:rsidRDefault="005F6DCA" w:rsidP="005F6DCA">
      <w:pPr>
        <w:ind w:left="1985" w:hanging="1985"/>
        <w:rPr>
          <w:bCs/>
          <w:szCs w:val="20"/>
        </w:rPr>
      </w:pPr>
      <w:r>
        <w:rPr>
          <w:rFonts w:eastAsia="Times New Roman"/>
          <w:color w:val="000000"/>
          <w:szCs w:val="20"/>
          <w:lang w:eastAsia="sv-SE"/>
        </w:rPr>
        <w:t>[</w:t>
      </w:r>
      <w:r>
        <w:rPr>
          <w:color w:val="000000"/>
          <w:szCs w:val="20"/>
        </w:rPr>
        <w:t>2</w:t>
      </w:r>
      <w:r>
        <w:rPr>
          <w:rFonts w:eastAsia="Times New Roman"/>
          <w:color w:val="000000"/>
          <w:szCs w:val="20"/>
          <w:lang w:eastAsia="sv-SE"/>
        </w:rPr>
        <w:t>]</w:t>
      </w:r>
      <w:bookmarkStart w:id="9" w:name="_Ref498623146"/>
      <w:r w:rsidRPr="00191922">
        <w:rPr>
          <w:iCs/>
          <w:szCs w:val="20"/>
        </w:rPr>
        <w:t xml:space="preserve"> </w:t>
      </w:r>
      <w:r w:rsidRPr="008C68F8">
        <w:rPr>
          <w:iCs/>
          <w:szCs w:val="20"/>
        </w:rPr>
        <w:t>RP-172115</w:t>
      </w:r>
      <w:r w:rsidRPr="008C68F8">
        <w:rPr>
          <w:rFonts w:hint="eastAsia"/>
          <w:iCs/>
          <w:szCs w:val="20"/>
        </w:rPr>
        <w:t xml:space="preserve">, </w:t>
      </w:r>
      <w:r w:rsidRPr="008C68F8">
        <w:rPr>
          <w:iCs/>
          <w:szCs w:val="20"/>
        </w:rPr>
        <w:t>“Revised WID on New Radio Access Technology”</w:t>
      </w:r>
      <w:r w:rsidRPr="008C68F8">
        <w:rPr>
          <w:rFonts w:hint="eastAsia"/>
          <w:iCs/>
          <w:szCs w:val="20"/>
        </w:rPr>
        <w:t xml:space="preserve">, </w:t>
      </w:r>
      <w:r w:rsidRPr="008C68F8">
        <w:rPr>
          <w:iCs/>
          <w:szCs w:val="20"/>
        </w:rPr>
        <w:t>NTT DOCOMO, INC.</w:t>
      </w:r>
      <w:r w:rsidRPr="008C68F8">
        <w:rPr>
          <w:rFonts w:hint="eastAsia"/>
          <w:iCs/>
          <w:szCs w:val="20"/>
        </w:rPr>
        <w:t>, RAN#77</w:t>
      </w:r>
      <w:bookmarkEnd w:id="9"/>
    </w:p>
    <w:p w:rsidR="00936AEF" w:rsidRDefault="005F6DCA" w:rsidP="0099216E">
      <w:pPr>
        <w:ind w:left="1985" w:hanging="1985"/>
        <w:rPr>
          <w:rFonts w:eastAsia="Times New Roman"/>
          <w:color w:val="000000"/>
          <w:szCs w:val="20"/>
          <w:lang w:eastAsia="sv-SE"/>
        </w:rPr>
      </w:pPr>
      <w:r>
        <w:rPr>
          <w:rFonts w:eastAsia="MS Mincho"/>
          <w:bCs/>
          <w:szCs w:val="20"/>
          <w:lang w:eastAsia="ja-JP"/>
        </w:rPr>
        <w:t>[3</w:t>
      </w:r>
      <w:r w:rsidR="00936AEF">
        <w:rPr>
          <w:rFonts w:eastAsia="MS Mincho"/>
          <w:bCs/>
          <w:szCs w:val="20"/>
          <w:lang w:eastAsia="ja-JP"/>
        </w:rPr>
        <w:t xml:space="preserve">] </w:t>
      </w:r>
      <w:r w:rsidR="00936AEF" w:rsidRPr="00936AEF">
        <w:rPr>
          <w:rFonts w:eastAsia="Times New Roman"/>
          <w:color w:val="000000"/>
          <w:szCs w:val="20"/>
          <w:lang w:eastAsia="sv-SE"/>
        </w:rPr>
        <w:t>R1-1720367</w:t>
      </w:r>
      <w:r w:rsidR="00936AEF">
        <w:rPr>
          <w:rFonts w:eastAsia="Times New Roman"/>
          <w:color w:val="000000"/>
          <w:szCs w:val="20"/>
          <w:lang w:eastAsia="sv-SE"/>
        </w:rPr>
        <w:t>, “</w:t>
      </w:r>
      <w:r w:rsidR="00996278">
        <w:rPr>
          <w:rFonts w:eastAsia="Times New Roman"/>
          <w:color w:val="000000"/>
          <w:szCs w:val="20"/>
          <w:lang w:eastAsia="sv-SE"/>
        </w:rPr>
        <w:t>Carrier Aggregation for CCs with Different Numerology</w:t>
      </w:r>
      <w:r w:rsidR="00936AEF">
        <w:rPr>
          <w:rFonts w:eastAsia="Times New Roman"/>
          <w:color w:val="000000"/>
          <w:szCs w:val="20"/>
          <w:lang w:eastAsia="sv-SE"/>
        </w:rPr>
        <w:t>”, ZTE</w:t>
      </w:r>
      <w:r w:rsidR="00996278">
        <w:rPr>
          <w:rFonts w:eastAsia="Times New Roman"/>
          <w:color w:val="000000"/>
          <w:szCs w:val="20"/>
          <w:lang w:eastAsia="sv-SE"/>
        </w:rPr>
        <w:t>, RAN1#91</w:t>
      </w:r>
    </w:p>
    <w:p w:rsidR="002D146D" w:rsidRDefault="002D146D" w:rsidP="0099216E">
      <w:pPr>
        <w:ind w:left="1985" w:hanging="1985"/>
        <w:rPr>
          <w:rFonts w:eastAsia="Times New Roman"/>
          <w:color w:val="000000"/>
          <w:szCs w:val="20"/>
          <w:lang w:eastAsia="sv-SE"/>
        </w:rPr>
      </w:pPr>
      <w:r>
        <w:rPr>
          <w:rFonts w:eastAsia="Times New Roman"/>
          <w:color w:val="000000"/>
          <w:szCs w:val="20"/>
          <w:lang w:eastAsia="sv-SE"/>
        </w:rPr>
        <w:t>[4] Chairman’</w:t>
      </w:r>
      <w:r w:rsidR="00F50EE6">
        <w:rPr>
          <w:rFonts w:eastAsia="Times New Roman"/>
          <w:color w:val="000000"/>
          <w:szCs w:val="20"/>
          <w:lang w:eastAsia="sv-SE"/>
        </w:rPr>
        <w:t>s notes, Reno, Dec 2017, RAN1#91</w:t>
      </w:r>
    </w:p>
    <w:p w:rsidR="00CE0FCE" w:rsidRDefault="002D146D" w:rsidP="0099216E">
      <w:pPr>
        <w:ind w:left="1985" w:hanging="1985"/>
        <w:rPr>
          <w:color w:val="000000"/>
          <w:szCs w:val="20"/>
        </w:rPr>
      </w:pPr>
      <w:r>
        <w:rPr>
          <w:rFonts w:eastAsia="Times New Roman"/>
          <w:color w:val="000000"/>
          <w:szCs w:val="20"/>
          <w:lang w:eastAsia="sv-SE"/>
        </w:rPr>
        <w:t>[5</w:t>
      </w:r>
      <w:r w:rsidR="00CE0FCE">
        <w:rPr>
          <w:rFonts w:eastAsia="Times New Roman"/>
          <w:color w:val="000000"/>
          <w:szCs w:val="20"/>
          <w:lang w:eastAsia="sv-SE"/>
        </w:rPr>
        <w:t xml:space="preserve">] </w:t>
      </w:r>
      <w:r w:rsidR="00A428A9">
        <w:rPr>
          <w:rFonts w:eastAsia="Times New Roman"/>
          <w:color w:val="000000"/>
          <w:szCs w:val="20"/>
          <w:lang w:eastAsia="sv-SE"/>
        </w:rPr>
        <w:t>R1-1721050, “38_</w:t>
      </w:r>
      <w:r w:rsidR="00CE0FCE">
        <w:rPr>
          <w:rFonts w:eastAsia="Times New Roman"/>
          <w:color w:val="000000"/>
          <w:szCs w:val="20"/>
          <w:lang w:eastAsia="sv-SE"/>
        </w:rPr>
        <w:t>213</w:t>
      </w:r>
      <w:r w:rsidR="00A428A9">
        <w:rPr>
          <w:rFonts w:eastAsia="Times New Roman"/>
          <w:color w:val="000000"/>
          <w:szCs w:val="20"/>
          <w:lang w:eastAsia="sv-SE"/>
        </w:rPr>
        <w:t xml:space="preserve"> v1.2.0, “Physical layer procedures for control”</w:t>
      </w:r>
    </w:p>
    <w:p w:rsidR="00965B3F" w:rsidRPr="00936AEF" w:rsidRDefault="00965B3F" w:rsidP="00936AEF">
      <w:pPr>
        <w:spacing w:line="264" w:lineRule="auto"/>
        <w:rPr>
          <w:iCs/>
          <w:szCs w:val="20"/>
        </w:rPr>
      </w:pPr>
    </w:p>
    <w:p w:rsidR="009F3BC6" w:rsidRPr="00F410EB" w:rsidRDefault="009F3BC6" w:rsidP="00F410EB">
      <w:pPr>
        <w:rPr>
          <w:b/>
          <w:i/>
        </w:rPr>
      </w:pPr>
    </w:p>
    <w:p w:rsidR="00991D7D" w:rsidRDefault="00904136" w:rsidP="00F50EE6">
      <w:pPr>
        <w:pStyle w:val="Heading1"/>
      </w:pPr>
      <w:r w:rsidRPr="005C3667">
        <w:rPr>
          <w:rFonts w:hint="eastAsia"/>
        </w:rPr>
        <w:t>Appendix</w:t>
      </w:r>
      <w:r w:rsidR="00F50EE6">
        <w:t xml:space="preserve"> – Simulation assumptions</w:t>
      </w:r>
    </w:p>
    <w:tbl>
      <w:tblPr>
        <w:tblStyle w:val="TableGri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8"/>
        <w:gridCol w:w="6264"/>
      </w:tblGrid>
      <w:tr w:rsidR="00991D7D" w:rsidTr="00991D7D">
        <w:tc>
          <w:tcPr>
            <w:tcW w:w="1611" w:type="pct"/>
            <w:shd w:val="clear" w:color="auto" w:fill="BBDFFD"/>
            <w:vAlign w:val="center"/>
          </w:tcPr>
          <w:p w:rsidR="00991D7D" w:rsidRDefault="00991D7D" w:rsidP="004C36AE">
            <w:pPr>
              <w:overflowPunct w:val="0"/>
              <w:autoSpaceDE w:val="0"/>
              <w:autoSpaceDN w:val="0"/>
              <w:spacing w:line="0" w:lineRule="atLeast"/>
              <w:jc w:val="center"/>
              <w:textAlignment w:val="baseline"/>
              <w:rPr>
                <w:rFonts w:eastAsia="SimSun"/>
              </w:rPr>
            </w:pPr>
            <w:bookmarkStart w:id="10" w:name="_Hlk462826262"/>
            <w:r>
              <w:rPr>
                <w:rFonts w:hint="eastAsia"/>
              </w:rPr>
              <w:t>Parameter</w:t>
            </w:r>
          </w:p>
        </w:tc>
        <w:tc>
          <w:tcPr>
            <w:tcW w:w="3389" w:type="pct"/>
            <w:shd w:val="clear" w:color="auto" w:fill="BBDFFD"/>
            <w:vAlign w:val="center"/>
          </w:tcPr>
          <w:p w:rsidR="00991D7D" w:rsidRDefault="00991D7D" w:rsidP="004C36AE">
            <w:pPr>
              <w:overflowPunct w:val="0"/>
              <w:autoSpaceDE w:val="0"/>
              <w:autoSpaceDN w:val="0"/>
              <w:spacing w:line="0" w:lineRule="atLeast"/>
              <w:jc w:val="center"/>
              <w:textAlignment w:val="baseline"/>
              <w:rPr>
                <w:rFonts w:eastAsia="SimSun"/>
              </w:rPr>
            </w:pPr>
            <w:r>
              <w:rPr>
                <w:rFonts w:hint="eastAsia"/>
              </w:rPr>
              <w:t>Value</w:t>
            </w:r>
          </w:p>
        </w:tc>
      </w:tr>
      <w:tr w:rsidR="00991D7D" w:rsidTr="00991D7D">
        <w:tc>
          <w:tcPr>
            <w:tcW w:w="1611" w:type="pct"/>
            <w:shd w:val="clear" w:color="auto" w:fill="BBDFFD"/>
            <w:vAlign w:val="center"/>
          </w:tcPr>
          <w:p w:rsidR="00991D7D" w:rsidRDefault="00991D7D" w:rsidP="004C36AE">
            <w:pPr>
              <w:jc w:val="both"/>
            </w:pPr>
            <w:r>
              <w:rPr>
                <w:lang w:val="sv-SE"/>
              </w:rPr>
              <w:t>Coding, modulation, etc</w:t>
            </w:r>
          </w:p>
        </w:tc>
        <w:tc>
          <w:tcPr>
            <w:tcW w:w="3389" w:type="pct"/>
            <w:vAlign w:val="center"/>
          </w:tcPr>
          <w:p w:rsidR="00991D7D" w:rsidRDefault="00991D7D" w:rsidP="004C36AE">
            <w:pPr>
              <w:jc w:val="both"/>
            </w:pPr>
            <w:r>
              <w:rPr>
                <w:lang w:val="sv-SE"/>
              </w:rPr>
              <w:t>LTE PDSCH</w:t>
            </w:r>
            <w:r>
              <w:rPr>
                <w:lang w:val="en-GB"/>
              </w:rPr>
              <w:t xml:space="preserve"> </w:t>
            </w:r>
          </w:p>
        </w:tc>
      </w:tr>
      <w:tr w:rsidR="00991D7D" w:rsidTr="00991D7D">
        <w:tc>
          <w:tcPr>
            <w:tcW w:w="1611" w:type="pct"/>
            <w:shd w:val="clear" w:color="auto" w:fill="BBDFFD"/>
            <w:vAlign w:val="center"/>
          </w:tcPr>
          <w:p w:rsidR="00991D7D" w:rsidRDefault="00991D7D" w:rsidP="004C36AE">
            <w:pPr>
              <w:jc w:val="both"/>
            </w:pPr>
            <w:r>
              <w:rPr>
                <w:lang w:val="sv-SE"/>
              </w:rPr>
              <w:t>Subcarrier spacing</w:t>
            </w:r>
            <w:r>
              <w:rPr>
                <w:lang w:val="en-GB"/>
              </w:rPr>
              <w:t xml:space="preserve"> </w:t>
            </w:r>
            <w:r>
              <w:rPr>
                <w:rFonts w:hint="eastAsia"/>
                <w:lang w:val="en-GB"/>
              </w:rPr>
              <w:t>(kHz)</w:t>
            </w:r>
          </w:p>
        </w:tc>
        <w:tc>
          <w:tcPr>
            <w:tcW w:w="3389" w:type="pct"/>
            <w:vAlign w:val="center"/>
          </w:tcPr>
          <w:p w:rsidR="00991D7D" w:rsidRDefault="00991D7D" w:rsidP="004C36AE">
            <w:pPr>
              <w:jc w:val="both"/>
            </w:pPr>
            <w:r>
              <w:rPr>
                <w:rFonts w:hint="eastAsia"/>
              </w:rPr>
              <w:t>15</w:t>
            </w:r>
          </w:p>
        </w:tc>
      </w:tr>
      <w:tr w:rsidR="00991D7D" w:rsidTr="00991D7D">
        <w:tc>
          <w:tcPr>
            <w:tcW w:w="1611" w:type="pct"/>
            <w:shd w:val="clear" w:color="auto" w:fill="BBDFFD"/>
            <w:vAlign w:val="center"/>
          </w:tcPr>
          <w:p w:rsidR="00991D7D" w:rsidRDefault="00991D7D" w:rsidP="004C36AE">
            <w:pPr>
              <w:jc w:val="both"/>
            </w:pPr>
            <w:r>
              <w:rPr>
                <w:lang w:val="sv-SE"/>
              </w:rPr>
              <w:t>CP duration</w:t>
            </w:r>
            <w:r>
              <w:rPr>
                <w:lang w:val="en-GB"/>
              </w:rPr>
              <w:t xml:space="preserve"> </w:t>
            </w:r>
            <w:r>
              <w:rPr>
                <w:rFonts w:hint="eastAsia"/>
                <w:lang w:val="en-GB"/>
              </w:rPr>
              <w:t>(us)</w:t>
            </w:r>
          </w:p>
        </w:tc>
        <w:tc>
          <w:tcPr>
            <w:tcW w:w="3389" w:type="pct"/>
            <w:vAlign w:val="center"/>
          </w:tcPr>
          <w:p w:rsidR="00991D7D" w:rsidRDefault="00991D7D" w:rsidP="004C36AE">
            <w:pPr>
              <w:jc w:val="both"/>
            </w:pPr>
            <w:r>
              <w:rPr>
                <w:lang w:val="sv-SE"/>
              </w:rPr>
              <w:t xml:space="preserve">5.2/4.7 </w:t>
            </w:r>
            <w:r>
              <w:rPr>
                <w:rFonts w:hint="eastAsia"/>
              </w:rPr>
              <w:t>for 15kHz</w:t>
            </w:r>
          </w:p>
          <w:p w:rsidR="00991D7D" w:rsidRDefault="00991D7D" w:rsidP="004C36AE">
            <w:pPr>
              <w:jc w:val="both"/>
              <w:rPr>
                <w:rFonts w:eastAsia="SimSun"/>
              </w:rPr>
            </w:pPr>
            <w:r>
              <w:rPr>
                <w:rFonts w:hint="eastAsia"/>
              </w:rPr>
              <w:t>2.6/2.35 for 30kHz</w:t>
            </w:r>
          </w:p>
        </w:tc>
      </w:tr>
      <w:tr w:rsidR="00991D7D" w:rsidTr="00991D7D">
        <w:tc>
          <w:tcPr>
            <w:tcW w:w="1611" w:type="pct"/>
            <w:shd w:val="clear" w:color="auto" w:fill="BBDFFD"/>
            <w:vAlign w:val="center"/>
          </w:tcPr>
          <w:p w:rsidR="00991D7D" w:rsidRDefault="00991D7D" w:rsidP="004C36AE">
            <w:pPr>
              <w:jc w:val="both"/>
            </w:pPr>
            <w:r>
              <w:rPr>
                <w:lang w:val="sv-SE"/>
              </w:rPr>
              <w:t>Symbols per 1 ms subframe</w:t>
            </w:r>
            <w:r>
              <w:rPr>
                <w:lang w:val="en-GB"/>
              </w:rPr>
              <w:t xml:space="preserve"> </w:t>
            </w:r>
          </w:p>
        </w:tc>
        <w:tc>
          <w:tcPr>
            <w:tcW w:w="3389" w:type="pct"/>
            <w:vAlign w:val="center"/>
          </w:tcPr>
          <w:p w:rsidR="00991D7D" w:rsidRDefault="00991D7D" w:rsidP="004C36AE">
            <w:pPr>
              <w:jc w:val="both"/>
            </w:pPr>
            <w:r>
              <w:rPr>
                <w:rFonts w:hint="eastAsia"/>
              </w:rPr>
              <w:t>14 for 15kHz</w:t>
            </w:r>
          </w:p>
          <w:p w:rsidR="00991D7D" w:rsidRDefault="00991D7D" w:rsidP="004C36AE">
            <w:pPr>
              <w:jc w:val="both"/>
            </w:pPr>
            <w:r>
              <w:rPr>
                <w:rFonts w:hint="eastAsia"/>
              </w:rPr>
              <w:t>28 for 30kHz</w:t>
            </w:r>
          </w:p>
        </w:tc>
      </w:tr>
      <w:tr w:rsidR="00991D7D" w:rsidTr="00991D7D">
        <w:tc>
          <w:tcPr>
            <w:tcW w:w="1611" w:type="pct"/>
            <w:shd w:val="clear" w:color="auto" w:fill="BBDFFD"/>
            <w:vAlign w:val="center"/>
          </w:tcPr>
          <w:p w:rsidR="00991D7D" w:rsidRDefault="00991D7D" w:rsidP="004C36AE">
            <w:pPr>
              <w:jc w:val="both"/>
            </w:pPr>
            <w:r>
              <w:rPr>
                <w:lang w:val="sv-SE"/>
              </w:rPr>
              <w:t>Waveform</w:t>
            </w:r>
          </w:p>
        </w:tc>
        <w:tc>
          <w:tcPr>
            <w:tcW w:w="3389" w:type="pct"/>
            <w:vAlign w:val="center"/>
          </w:tcPr>
          <w:p w:rsidR="00991D7D" w:rsidRDefault="00991D7D" w:rsidP="004C36AE">
            <w:pPr>
              <w:jc w:val="both"/>
            </w:pPr>
            <w:r>
              <w:rPr>
                <w:lang w:val="sv-SE"/>
              </w:rPr>
              <w:t>CP-OFDM</w:t>
            </w:r>
            <w:r>
              <w:rPr>
                <w:lang w:val="en-GB"/>
              </w:rPr>
              <w:t xml:space="preserve"> </w:t>
            </w:r>
          </w:p>
        </w:tc>
      </w:tr>
      <w:tr w:rsidR="00991D7D" w:rsidTr="00991D7D">
        <w:tc>
          <w:tcPr>
            <w:tcW w:w="1611" w:type="pct"/>
            <w:shd w:val="clear" w:color="auto" w:fill="BBDFFD"/>
            <w:vAlign w:val="center"/>
          </w:tcPr>
          <w:p w:rsidR="00991D7D" w:rsidRDefault="00991D7D" w:rsidP="004C36AE">
            <w:pPr>
              <w:jc w:val="both"/>
            </w:pPr>
            <w:r>
              <w:rPr>
                <w:lang w:val="sv-SE"/>
              </w:rPr>
              <w:t>Tx/Rx antennas</w:t>
            </w:r>
            <w:r>
              <w:rPr>
                <w:lang w:val="en-GB"/>
              </w:rPr>
              <w:t xml:space="preserve"> </w:t>
            </w:r>
          </w:p>
        </w:tc>
        <w:tc>
          <w:tcPr>
            <w:tcW w:w="3389" w:type="pct"/>
            <w:vAlign w:val="center"/>
          </w:tcPr>
          <w:p w:rsidR="00991D7D" w:rsidRDefault="00991D7D" w:rsidP="004C36AE">
            <w:pPr>
              <w:jc w:val="both"/>
              <w:rPr>
                <w:lang w:val="sv-SE"/>
              </w:rPr>
            </w:pPr>
            <w:r>
              <w:rPr>
                <w:lang w:val="sv-SE"/>
              </w:rPr>
              <w:t>1 Tx / 2 Rx antennas</w:t>
            </w:r>
          </w:p>
        </w:tc>
      </w:tr>
      <w:tr w:rsidR="00991D7D" w:rsidTr="00991D7D">
        <w:tc>
          <w:tcPr>
            <w:tcW w:w="1611" w:type="pct"/>
            <w:shd w:val="clear" w:color="auto" w:fill="BBDFFD"/>
            <w:vAlign w:val="center"/>
          </w:tcPr>
          <w:p w:rsidR="00991D7D" w:rsidRDefault="00991D7D" w:rsidP="004C36AE">
            <w:pPr>
              <w:jc w:val="both"/>
            </w:pPr>
            <w:r>
              <w:rPr>
                <w:lang w:val="sv-SE"/>
              </w:rPr>
              <w:lastRenderedPageBreak/>
              <w:t>Channel estimation</w:t>
            </w:r>
            <w:r>
              <w:rPr>
                <w:lang w:val="en-GB"/>
              </w:rPr>
              <w:t xml:space="preserve"> </w:t>
            </w:r>
          </w:p>
        </w:tc>
        <w:tc>
          <w:tcPr>
            <w:tcW w:w="3389" w:type="pct"/>
            <w:vAlign w:val="center"/>
          </w:tcPr>
          <w:p w:rsidR="00991D7D" w:rsidRDefault="00991D7D" w:rsidP="004C36AE">
            <w:pPr>
              <w:jc w:val="both"/>
            </w:pPr>
            <w:r>
              <w:rPr>
                <w:lang w:val="sv-SE"/>
              </w:rPr>
              <w:t>Genie-based</w:t>
            </w:r>
          </w:p>
        </w:tc>
      </w:tr>
      <w:tr w:rsidR="00991D7D" w:rsidTr="00991D7D">
        <w:tc>
          <w:tcPr>
            <w:tcW w:w="1611" w:type="pct"/>
            <w:shd w:val="clear" w:color="auto" w:fill="BBDFFD"/>
            <w:vAlign w:val="center"/>
          </w:tcPr>
          <w:p w:rsidR="00991D7D" w:rsidRDefault="00991D7D" w:rsidP="004C36AE">
            <w:pPr>
              <w:jc w:val="both"/>
            </w:pPr>
            <w:r>
              <w:rPr>
                <w:rFonts w:hint="eastAsia"/>
                <w:lang w:val="en-GB"/>
              </w:rPr>
              <w:t>#</w:t>
            </w:r>
            <w:r>
              <w:rPr>
                <w:lang w:val="en-GB"/>
              </w:rPr>
              <w:t xml:space="preserve"> of used PRBs in frequency </w:t>
            </w:r>
          </w:p>
        </w:tc>
        <w:tc>
          <w:tcPr>
            <w:tcW w:w="3389" w:type="pct"/>
            <w:vAlign w:val="center"/>
          </w:tcPr>
          <w:p w:rsidR="00991D7D" w:rsidRDefault="00991D7D" w:rsidP="004C36AE">
            <w:pPr>
              <w:jc w:val="both"/>
              <w:rPr>
                <w:rFonts w:eastAsia="SimSun"/>
              </w:rPr>
            </w:pPr>
            <w:r>
              <w:rPr>
                <w:rFonts w:hint="eastAsia"/>
              </w:rPr>
              <w:t>6</w:t>
            </w:r>
          </w:p>
        </w:tc>
      </w:tr>
      <w:tr w:rsidR="00991D7D" w:rsidTr="00991D7D">
        <w:tc>
          <w:tcPr>
            <w:tcW w:w="1611" w:type="pct"/>
            <w:shd w:val="clear" w:color="auto" w:fill="BBDFFD"/>
            <w:vAlign w:val="center"/>
          </w:tcPr>
          <w:p w:rsidR="00991D7D" w:rsidRDefault="00991D7D" w:rsidP="004C36AE">
            <w:pPr>
              <w:jc w:val="both"/>
              <w:rPr>
                <w:lang w:val="sv-SE"/>
              </w:rPr>
            </w:pPr>
            <w:r>
              <w:rPr>
                <w:rFonts w:hint="eastAsia"/>
                <w:lang w:val="en-GB"/>
              </w:rPr>
              <w:t>subframe</w:t>
            </w:r>
            <w:r>
              <w:rPr>
                <w:lang w:val="en-GB"/>
              </w:rPr>
              <w:t xml:space="preserve"> length</w:t>
            </w:r>
            <w:r>
              <w:rPr>
                <w:rFonts w:hint="eastAsia"/>
                <w:lang w:val="en-GB"/>
              </w:rPr>
              <w:t xml:space="preserve"> (ms)</w:t>
            </w:r>
          </w:p>
        </w:tc>
        <w:tc>
          <w:tcPr>
            <w:tcW w:w="3389" w:type="pct"/>
            <w:vAlign w:val="center"/>
          </w:tcPr>
          <w:p w:rsidR="00991D7D" w:rsidRDefault="00991D7D" w:rsidP="004C36AE">
            <w:pPr>
              <w:jc w:val="both"/>
            </w:pPr>
            <w:r>
              <w:rPr>
                <w:rFonts w:hint="eastAsia"/>
              </w:rPr>
              <w:t>1</w:t>
            </w:r>
          </w:p>
        </w:tc>
      </w:tr>
      <w:tr w:rsidR="00991D7D" w:rsidTr="00991D7D">
        <w:tc>
          <w:tcPr>
            <w:tcW w:w="1611" w:type="pct"/>
            <w:shd w:val="clear" w:color="auto" w:fill="BBDFFD"/>
            <w:vAlign w:val="center"/>
          </w:tcPr>
          <w:p w:rsidR="00991D7D" w:rsidRDefault="00991D7D" w:rsidP="004C36AE">
            <w:pPr>
              <w:jc w:val="both"/>
              <w:rPr>
                <w:lang w:val="sv-SE"/>
              </w:rPr>
            </w:pPr>
            <w:r>
              <w:rPr>
                <w:rFonts w:hint="eastAsia"/>
                <w:lang w:val="sv-SE"/>
              </w:rPr>
              <w:t>Carrier Frequency (GHz)</w:t>
            </w:r>
          </w:p>
        </w:tc>
        <w:tc>
          <w:tcPr>
            <w:tcW w:w="3389" w:type="pct"/>
            <w:vAlign w:val="center"/>
          </w:tcPr>
          <w:p w:rsidR="00991D7D" w:rsidRDefault="00991D7D" w:rsidP="004C36AE">
            <w:pPr>
              <w:jc w:val="both"/>
              <w:rPr>
                <w:lang w:val="sv-SE"/>
              </w:rPr>
            </w:pPr>
            <w:r>
              <w:rPr>
                <w:rFonts w:hint="eastAsia"/>
              </w:rPr>
              <w:t>0.7</w:t>
            </w:r>
            <w:r>
              <w:rPr>
                <w:rFonts w:hint="eastAsia"/>
                <w:lang w:val="sv-SE"/>
              </w:rPr>
              <w:t>GHz</w:t>
            </w:r>
          </w:p>
        </w:tc>
      </w:tr>
      <w:tr w:rsidR="00991D7D" w:rsidTr="00991D7D">
        <w:tc>
          <w:tcPr>
            <w:tcW w:w="1611" w:type="pct"/>
            <w:shd w:val="clear" w:color="auto" w:fill="BBDFFD"/>
            <w:vAlign w:val="center"/>
          </w:tcPr>
          <w:p w:rsidR="00991D7D" w:rsidRDefault="00991D7D" w:rsidP="004C36AE">
            <w:pPr>
              <w:jc w:val="both"/>
            </w:pPr>
            <w:r>
              <w:rPr>
                <w:lang w:val="sv-SE"/>
              </w:rPr>
              <w:t>Channel model</w:t>
            </w:r>
            <w:r>
              <w:rPr>
                <w:lang w:val="en-GB"/>
              </w:rPr>
              <w:t xml:space="preserve"> </w:t>
            </w:r>
          </w:p>
        </w:tc>
        <w:tc>
          <w:tcPr>
            <w:tcW w:w="3389" w:type="pct"/>
            <w:vAlign w:val="center"/>
          </w:tcPr>
          <w:p w:rsidR="00991D7D" w:rsidRDefault="00991D7D" w:rsidP="004C36AE">
            <w:pPr>
              <w:jc w:val="both"/>
            </w:pPr>
            <w:r>
              <w:rPr>
                <w:lang w:val="en-GB"/>
              </w:rPr>
              <w:t>TDL A with DS = 1000,</w:t>
            </w:r>
            <w:r>
              <w:rPr>
                <w:rFonts w:hint="eastAsia"/>
                <w:lang w:val="en-GB"/>
              </w:rPr>
              <w:t xml:space="preserve">Speed: </w:t>
            </w:r>
            <w:r>
              <w:rPr>
                <w:lang w:val="en-GB"/>
              </w:rPr>
              <w:t xml:space="preserve"> 30</w:t>
            </w:r>
            <w:r>
              <w:rPr>
                <w:rFonts w:hint="eastAsia"/>
                <w:lang w:val="en-GB"/>
              </w:rPr>
              <w:t xml:space="preserve"> </w:t>
            </w:r>
            <w:r>
              <w:rPr>
                <w:lang w:val="en-GB"/>
              </w:rPr>
              <w:t xml:space="preserve">km/h </w:t>
            </w:r>
          </w:p>
        </w:tc>
      </w:tr>
      <w:tr w:rsidR="00991D7D" w:rsidTr="00991D7D">
        <w:tc>
          <w:tcPr>
            <w:tcW w:w="1611" w:type="pct"/>
            <w:shd w:val="clear" w:color="auto" w:fill="BBDFFD"/>
            <w:vAlign w:val="center"/>
          </w:tcPr>
          <w:p w:rsidR="00991D7D" w:rsidRDefault="00991D7D" w:rsidP="004C36AE">
            <w:pPr>
              <w:jc w:val="both"/>
            </w:pPr>
            <w:r>
              <w:rPr>
                <w:lang w:val="sv-SE"/>
              </w:rPr>
              <w:t>Link adaptation</w:t>
            </w:r>
            <w:r>
              <w:rPr>
                <w:lang w:val="en-GB"/>
              </w:rPr>
              <w:t xml:space="preserve"> </w:t>
            </w:r>
          </w:p>
        </w:tc>
        <w:tc>
          <w:tcPr>
            <w:tcW w:w="3389" w:type="pct"/>
            <w:vAlign w:val="center"/>
          </w:tcPr>
          <w:p w:rsidR="00991D7D" w:rsidRDefault="00991D7D" w:rsidP="004C36AE">
            <w:pPr>
              <w:jc w:val="both"/>
            </w:pPr>
            <w:r>
              <w:rPr>
                <w:lang w:val="en-GB"/>
              </w:rPr>
              <w:t xml:space="preserve">Fixed resource </w:t>
            </w:r>
            <w:r w:rsidR="008F0491">
              <w:rPr>
                <w:lang w:val="en-GB"/>
              </w:rPr>
              <w:t>allocation</w:t>
            </w:r>
            <w:r>
              <w:rPr>
                <w:lang w:val="en-GB"/>
              </w:rPr>
              <w:t xml:space="preserve"> with MCS adaptation. </w:t>
            </w:r>
            <w:r>
              <w:rPr>
                <w:lang w:val="sv-SE"/>
              </w:rPr>
              <w:t>OLLA enabled</w:t>
            </w:r>
          </w:p>
        </w:tc>
      </w:tr>
      <w:tr w:rsidR="00991D7D" w:rsidTr="00991D7D">
        <w:tc>
          <w:tcPr>
            <w:tcW w:w="1611" w:type="pct"/>
            <w:shd w:val="clear" w:color="auto" w:fill="BBDFFD"/>
            <w:vAlign w:val="center"/>
          </w:tcPr>
          <w:p w:rsidR="00991D7D" w:rsidRDefault="00991D7D" w:rsidP="004C36AE">
            <w:pPr>
              <w:jc w:val="both"/>
            </w:pPr>
            <w:r>
              <w:rPr>
                <w:lang w:val="sv-SE"/>
              </w:rPr>
              <w:t>Performance metric</w:t>
            </w:r>
            <w:r>
              <w:rPr>
                <w:vertAlign w:val="superscript"/>
                <w:lang w:val="en-GB"/>
              </w:rPr>
              <w:t xml:space="preserve"> </w:t>
            </w:r>
          </w:p>
        </w:tc>
        <w:tc>
          <w:tcPr>
            <w:tcW w:w="3389" w:type="pct"/>
            <w:vAlign w:val="center"/>
          </w:tcPr>
          <w:p w:rsidR="00991D7D" w:rsidRDefault="00991D7D" w:rsidP="004C36AE">
            <w:pPr>
              <w:jc w:val="both"/>
            </w:pPr>
            <w:r>
              <w:rPr>
                <w:lang w:val="en-GB"/>
              </w:rPr>
              <w:t>Spectral efficiency = Throughput/BW</w:t>
            </w:r>
            <w:r>
              <w:rPr>
                <w:vertAlign w:val="subscript"/>
                <w:lang w:val="en-GB"/>
              </w:rPr>
              <w:t>u</w:t>
            </w:r>
            <w:r>
              <w:rPr>
                <w:lang w:val="en-GB"/>
              </w:rPr>
              <w:t xml:space="preserve"> </w:t>
            </w:r>
            <w:r>
              <w:rPr>
                <w:rFonts w:hint="eastAsia"/>
                <w:lang w:val="en-GB"/>
              </w:rPr>
              <w:t xml:space="preserve">, where </w:t>
            </w:r>
            <w:r>
              <w:rPr>
                <w:lang w:val="en-GB"/>
              </w:rPr>
              <w:t>BW</w:t>
            </w:r>
            <w:r>
              <w:rPr>
                <w:vertAlign w:val="subscript"/>
                <w:lang w:val="en-GB"/>
              </w:rPr>
              <w:t>u</w:t>
            </w:r>
            <w:r>
              <w:rPr>
                <w:rFonts w:hint="eastAsia"/>
                <w:lang w:val="en-GB"/>
              </w:rPr>
              <w:t xml:space="preserve"> is the bandwidth for data transmission</w:t>
            </w:r>
          </w:p>
        </w:tc>
      </w:tr>
      <w:bookmarkEnd w:id="10"/>
    </w:tbl>
    <w:p w:rsidR="00EE5156" w:rsidRDefault="00EE5156" w:rsidP="00061723">
      <w:pPr>
        <w:spacing w:afterLines="50"/>
        <w:rPr>
          <w:sz w:val="21"/>
          <w:szCs w:val="21"/>
        </w:rPr>
      </w:pPr>
    </w:p>
    <w:p w:rsidR="001C6D14" w:rsidRDefault="001C6D14" w:rsidP="00F179E8">
      <w:pPr>
        <w:spacing w:afterLines="50"/>
        <w:rPr>
          <w:sz w:val="21"/>
          <w:szCs w:val="21"/>
        </w:rPr>
      </w:pPr>
    </w:p>
    <w:sectPr w:rsidR="001C6D14" w:rsidSect="0024567E">
      <w:headerReference w:type="default" r:id="rId18"/>
      <w:footerReference w:type="even" r:id="rId19"/>
      <w:footerReference w:type="default" r:id="rId2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656" w:rsidRDefault="00033656" w:rsidP="00FF0AAD">
      <w:r>
        <w:separator/>
      </w:r>
    </w:p>
  </w:endnote>
  <w:endnote w:type="continuationSeparator" w:id="0">
    <w:p w:rsidR="00033656" w:rsidRDefault="00033656"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w:altName w:val="MingLiU"/>
    <w:charset w:val="88"/>
    <w:family w:val="auto"/>
    <w:pitch w:val="default"/>
    <w:sig w:usb0="00000000" w:usb1="0000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F179E8">
    <w:pPr>
      <w:pStyle w:val="Footer"/>
      <w:framePr w:wrap="around" w:vAnchor="text" w:hAnchor="margin" w:xAlign="right" w:y="1"/>
      <w:rPr>
        <w:rStyle w:val="PageNumber"/>
      </w:rPr>
    </w:pPr>
    <w:r>
      <w:rPr>
        <w:rStyle w:val="PageNumber"/>
      </w:rPr>
      <w:fldChar w:fldCharType="begin"/>
    </w:r>
    <w:r w:rsidR="00017308">
      <w:rPr>
        <w:rStyle w:val="PageNumber"/>
      </w:rPr>
      <w:instrText xml:space="preserve">PAGE  </w:instrText>
    </w:r>
    <w:r>
      <w:rPr>
        <w:rStyle w:val="PageNumber"/>
      </w:rPr>
      <w:fldChar w:fldCharType="end"/>
    </w:r>
  </w:p>
  <w:p w:rsidR="00017308" w:rsidRDefault="000173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017308"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656" w:rsidRDefault="00033656" w:rsidP="00FF0AAD">
      <w:r>
        <w:separator/>
      </w:r>
    </w:p>
  </w:footnote>
  <w:footnote w:type="continuationSeparator" w:id="0">
    <w:p w:rsidR="00033656" w:rsidRDefault="00033656"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017308">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24C22"/>
    <w:multiLevelType w:val="hybridMultilevel"/>
    <w:tmpl w:val="FCBE92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B8C1FAE"/>
    <w:multiLevelType w:val="hybridMultilevel"/>
    <w:tmpl w:val="105E30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EB263F4"/>
    <w:multiLevelType w:val="hybridMultilevel"/>
    <w:tmpl w:val="A12EC86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nsid w:val="13FD1267"/>
    <w:multiLevelType w:val="hybridMultilevel"/>
    <w:tmpl w:val="66C02C8E"/>
    <w:lvl w:ilvl="0" w:tplc="EFFE7198">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8">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9">
    <w:nsid w:val="1AFF5C59"/>
    <w:multiLevelType w:val="hybridMultilevel"/>
    <w:tmpl w:val="1B2A6274"/>
    <w:lvl w:ilvl="0" w:tplc="F710AE1E">
      <w:start w:val="83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FAA022F"/>
    <w:multiLevelType w:val="hybridMultilevel"/>
    <w:tmpl w:val="0A2EC4AC"/>
    <w:lvl w:ilvl="0" w:tplc="B45474B8">
      <w:start w:val="1"/>
      <w:numFmt w:val="bullet"/>
      <w:lvlText w:val="–"/>
      <w:lvlJc w:val="left"/>
      <w:pPr>
        <w:tabs>
          <w:tab w:val="num" w:pos="720"/>
        </w:tabs>
        <w:ind w:left="720" w:hanging="360"/>
      </w:pPr>
      <w:rPr>
        <w:rFonts w:ascii="Arial" w:hAnsi="Arial" w:hint="default"/>
      </w:rPr>
    </w:lvl>
    <w:lvl w:ilvl="1" w:tplc="3A9CBB26">
      <w:start w:val="1"/>
      <w:numFmt w:val="bullet"/>
      <w:lvlText w:val="–"/>
      <w:lvlJc w:val="left"/>
      <w:pPr>
        <w:tabs>
          <w:tab w:val="num" w:pos="1440"/>
        </w:tabs>
        <w:ind w:left="1440" w:hanging="360"/>
      </w:pPr>
      <w:rPr>
        <w:rFonts w:ascii="Arial" w:hAnsi="Arial" w:hint="default"/>
      </w:rPr>
    </w:lvl>
    <w:lvl w:ilvl="2" w:tplc="29C26D7C" w:tentative="1">
      <w:start w:val="1"/>
      <w:numFmt w:val="bullet"/>
      <w:lvlText w:val="–"/>
      <w:lvlJc w:val="left"/>
      <w:pPr>
        <w:tabs>
          <w:tab w:val="num" w:pos="2160"/>
        </w:tabs>
        <w:ind w:left="2160" w:hanging="360"/>
      </w:pPr>
      <w:rPr>
        <w:rFonts w:ascii="Arial" w:hAnsi="Arial" w:hint="default"/>
      </w:rPr>
    </w:lvl>
    <w:lvl w:ilvl="3" w:tplc="9D4AA75A" w:tentative="1">
      <w:start w:val="1"/>
      <w:numFmt w:val="bullet"/>
      <w:lvlText w:val="–"/>
      <w:lvlJc w:val="left"/>
      <w:pPr>
        <w:tabs>
          <w:tab w:val="num" w:pos="2880"/>
        </w:tabs>
        <w:ind w:left="2880" w:hanging="360"/>
      </w:pPr>
      <w:rPr>
        <w:rFonts w:ascii="Arial" w:hAnsi="Arial" w:hint="default"/>
      </w:rPr>
    </w:lvl>
    <w:lvl w:ilvl="4" w:tplc="C590B494" w:tentative="1">
      <w:start w:val="1"/>
      <w:numFmt w:val="bullet"/>
      <w:lvlText w:val="–"/>
      <w:lvlJc w:val="left"/>
      <w:pPr>
        <w:tabs>
          <w:tab w:val="num" w:pos="3600"/>
        </w:tabs>
        <w:ind w:left="3600" w:hanging="360"/>
      </w:pPr>
      <w:rPr>
        <w:rFonts w:ascii="Arial" w:hAnsi="Arial" w:hint="default"/>
      </w:rPr>
    </w:lvl>
    <w:lvl w:ilvl="5" w:tplc="22F20638" w:tentative="1">
      <w:start w:val="1"/>
      <w:numFmt w:val="bullet"/>
      <w:lvlText w:val="–"/>
      <w:lvlJc w:val="left"/>
      <w:pPr>
        <w:tabs>
          <w:tab w:val="num" w:pos="4320"/>
        </w:tabs>
        <w:ind w:left="4320" w:hanging="360"/>
      </w:pPr>
      <w:rPr>
        <w:rFonts w:ascii="Arial" w:hAnsi="Arial" w:hint="default"/>
      </w:rPr>
    </w:lvl>
    <w:lvl w:ilvl="6" w:tplc="082014A4" w:tentative="1">
      <w:start w:val="1"/>
      <w:numFmt w:val="bullet"/>
      <w:lvlText w:val="–"/>
      <w:lvlJc w:val="left"/>
      <w:pPr>
        <w:tabs>
          <w:tab w:val="num" w:pos="5040"/>
        </w:tabs>
        <w:ind w:left="5040" w:hanging="360"/>
      </w:pPr>
      <w:rPr>
        <w:rFonts w:ascii="Arial" w:hAnsi="Arial" w:hint="default"/>
      </w:rPr>
    </w:lvl>
    <w:lvl w:ilvl="7" w:tplc="4BCAF6F2" w:tentative="1">
      <w:start w:val="1"/>
      <w:numFmt w:val="bullet"/>
      <w:lvlText w:val="–"/>
      <w:lvlJc w:val="left"/>
      <w:pPr>
        <w:tabs>
          <w:tab w:val="num" w:pos="5760"/>
        </w:tabs>
        <w:ind w:left="5760" w:hanging="360"/>
      </w:pPr>
      <w:rPr>
        <w:rFonts w:ascii="Arial" w:hAnsi="Arial" w:hint="default"/>
      </w:rPr>
    </w:lvl>
    <w:lvl w:ilvl="8" w:tplc="4002F2AE" w:tentative="1">
      <w:start w:val="1"/>
      <w:numFmt w:val="bullet"/>
      <w:lvlText w:val="–"/>
      <w:lvlJc w:val="left"/>
      <w:pPr>
        <w:tabs>
          <w:tab w:val="num" w:pos="6480"/>
        </w:tabs>
        <w:ind w:left="6480" w:hanging="360"/>
      </w:pPr>
      <w:rPr>
        <w:rFonts w:ascii="Arial" w:hAnsi="Arial" w:hint="default"/>
      </w:rPr>
    </w:lvl>
  </w:abstractNum>
  <w:abstractNum w:abstractNumId="11">
    <w:nsid w:val="234078AC"/>
    <w:multiLevelType w:val="hybridMultilevel"/>
    <w:tmpl w:val="7C5AED70"/>
    <w:lvl w:ilvl="0" w:tplc="0409000B">
      <w:start w:val="1"/>
      <w:numFmt w:val="bullet"/>
      <w:lvlText w:val=""/>
      <w:lvlJc w:val="left"/>
      <w:pPr>
        <w:ind w:left="580" w:hanging="36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8D66383"/>
    <w:multiLevelType w:val="hybridMultilevel"/>
    <w:tmpl w:val="C6D0C752"/>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7">
    <w:nsid w:val="38C34D57"/>
    <w:multiLevelType w:val="hybridMultilevel"/>
    <w:tmpl w:val="AE48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C7775D"/>
    <w:multiLevelType w:val="hybridMultilevel"/>
    <w:tmpl w:val="08C837A0"/>
    <w:lvl w:ilvl="0" w:tplc="4AAE82FE">
      <w:start w:val="1"/>
      <w:numFmt w:val="bullet"/>
      <w:lvlText w:val="•"/>
      <w:lvlJc w:val="left"/>
      <w:pPr>
        <w:tabs>
          <w:tab w:val="num" w:pos="720"/>
        </w:tabs>
        <w:ind w:left="720" w:hanging="360"/>
      </w:pPr>
      <w:rPr>
        <w:rFonts w:ascii="Arial" w:hAnsi="Arial" w:hint="default"/>
      </w:rPr>
    </w:lvl>
    <w:lvl w:ilvl="1" w:tplc="C60C5FB4" w:tentative="1">
      <w:start w:val="1"/>
      <w:numFmt w:val="bullet"/>
      <w:lvlText w:val="•"/>
      <w:lvlJc w:val="left"/>
      <w:pPr>
        <w:tabs>
          <w:tab w:val="num" w:pos="1440"/>
        </w:tabs>
        <w:ind w:left="1440" w:hanging="360"/>
      </w:pPr>
      <w:rPr>
        <w:rFonts w:ascii="Arial" w:hAnsi="Arial" w:hint="default"/>
      </w:rPr>
    </w:lvl>
    <w:lvl w:ilvl="2" w:tplc="DD628ACE" w:tentative="1">
      <w:start w:val="1"/>
      <w:numFmt w:val="bullet"/>
      <w:lvlText w:val="•"/>
      <w:lvlJc w:val="left"/>
      <w:pPr>
        <w:tabs>
          <w:tab w:val="num" w:pos="2160"/>
        </w:tabs>
        <w:ind w:left="2160" w:hanging="360"/>
      </w:pPr>
      <w:rPr>
        <w:rFonts w:ascii="Arial" w:hAnsi="Arial" w:hint="default"/>
      </w:rPr>
    </w:lvl>
    <w:lvl w:ilvl="3" w:tplc="A64C3C0A" w:tentative="1">
      <w:start w:val="1"/>
      <w:numFmt w:val="bullet"/>
      <w:lvlText w:val="•"/>
      <w:lvlJc w:val="left"/>
      <w:pPr>
        <w:tabs>
          <w:tab w:val="num" w:pos="2880"/>
        </w:tabs>
        <w:ind w:left="2880" w:hanging="360"/>
      </w:pPr>
      <w:rPr>
        <w:rFonts w:ascii="Arial" w:hAnsi="Arial" w:hint="default"/>
      </w:rPr>
    </w:lvl>
    <w:lvl w:ilvl="4" w:tplc="B1F46132" w:tentative="1">
      <w:start w:val="1"/>
      <w:numFmt w:val="bullet"/>
      <w:lvlText w:val="•"/>
      <w:lvlJc w:val="left"/>
      <w:pPr>
        <w:tabs>
          <w:tab w:val="num" w:pos="3600"/>
        </w:tabs>
        <w:ind w:left="3600" w:hanging="360"/>
      </w:pPr>
      <w:rPr>
        <w:rFonts w:ascii="Arial" w:hAnsi="Arial" w:hint="default"/>
      </w:rPr>
    </w:lvl>
    <w:lvl w:ilvl="5" w:tplc="4014BE0A" w:tentative="1">
      <w:start w:val="1"/>
      <w:numFmt w:val="bullet"/>
      <w:lvlText w:val="•"/>
      <w:lvlJc w:val="left"/>
      <w:pPr>
        <w:tabs>
          <w:tab w:val="num" w:pos="4320"/>
        </w:tabs>
        <w:ind w:left="4320" w:hanging="360"/>
      </w:pPr>
      <w:rPr>
        <w:rFonts w:ascii="Arial" w:hAnsi="Arial" w:hint="default"/>
      </w:rPr>
    </w:lvl>
    <w:lvl w:ilvl="6" w:tplc="FFCCCAF8" w:tentative="1">
      <w:start w:val="1"/>
      <w:numFmt w:val="bullet"/>
      <w:lvlText w:val="•"/>
      <w:lvlJc w:val="left"/>
      <w:pPr>
        <w:tabs>
          <w:tab w:val="num" w:pos="5040"/>
        </w:tabs>
        <w:ind w:left="5040" w:hanging="360"/>
      </w:pPr>
      <w:rPr>
        <w:rFonts w:ascii="Arial" w:hAnsi="Arial" w:hint="default"/>
      </w:rPr>
    </w:lvl>
    <w:lvl w:ilvl="7" w:tplc="15A0EB14" w:tentative="1">
      <w:start w:val="1"/>
      <w:numFmt w:val="bullet"/>
      <w:lvlText w:val="•"/>
      <w:lvlJc w:val="left"/>
      <w:pPr>
        <w:tabs>
          <w:tab w:val="num" w:pos="5760"/>
        </w:tabs>
        <w:ind w:left="5760" w:hanging="360"/>
      </w:pPr>
      <w:rPr>
        <w:rFonts w:ascii="Arial" w:hAnsi="Arial" w:hint="default"/>
      </w:rPr>
    </w:lvl>
    <w:lvl w:ilvl="8" w:tplc="EAD8E148" w:tentative="1">
      <w:start w:val="1"/>
      <w:numFmt w:val="bullet"/>
      <w:lvlText w:val="•"/>
      <w:lvlJc w:val="left"/>
      <w:pPr>
        <w:tabs>
          <w:tab w:val="num" w:pos="6480"/>
        </w:tabs>
        <w:ind w:left="6480" w:hanging="360"/>
      </w:pPr>
      <w:rPr>
        <w:rFonts w:ascii="Arial" w:hAnsi="Arial" w:hint="default"/>
      </w:rPr>
    </w:lvl>
  </w:abstractNum>
  <w:abstractNum w:abstractNumId="19">
    <w:nsid w:val="38EC059E"/>
    <w:multiLevelType w:val="hybridMultilevel"/>
    <w:tmpl w:val="3D344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6">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145338"/>
    <w:multiLevelType w:val="hybridMultilevel"/>
    <w:tmpl w:val="40AC76C4"/>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0">
    <w:nsid w:val="5C37693B"/>
    <w:multiLevelType w:val="hybridMultilevel"/>
    <w:tmpl w:val="2700776E"/>
    <w:lvl w:ilvl="0" w:tplc="B142CC02">
      <w:start w:val="1"/>
      <w:numFmt w:val="upperLetter"/>
      <w:lvlText w:val="%1)"/>
      <w:lvlJc w:val="left"/>
      <w:pPr>
        <w:ind w:left="720" w:hanging="360"/>
      </w:pPr>
      <w:rPr>
        <w:rFonts w:hint="default"/>
        <w:b/>
        <w:u w:val="singl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5D0147DE"/>
    <w:multiLevelType w:val="hybridMultilevel"/>
    <w:tmpl w:val="CC742D2A"/>
    <w:lvl w:ilvl="0" w:tplc="2CD4217A">
      <w:start w:val="1"/>
      <w:numFmt w:val="bullet"/>
      <w:lvlText w:val="–"/>
      <w:lvlJc w:val="left"/>
      <w:pPr>
        <w:tabs>
          <w:tab w:val="num" w:pos="720"/>
        </w:tabs>
        <w:ind w:left="720" w:hanging="360"/>
      </w:pPr>
      <w:rPr>
        <w:rFonts w:ascii="Arial" w:hAnsi="Arial" w:hint="default"/>
      </w:rPr>
    </w:lvl>
    <w:lvl w:ilvl="1" w:tplc="9C48FB0A">
      <w:start w:val="1"/>
      <w:numFmt w:val="bullet"/>
      <w:lvlText w:val="–"/>
      <w:lvlJc w:val="left"/>
      <w:pPr>
        <w:tabs>
          <w:tab w:val="num" w:pos="1440"/>
        </w:tabs>
        <w:ind w:left="1440" w:hanging="360"/>
      </w:pPr>
      <w:rPr>
        <w:rFonts w:ascii="Arial" w:hAnsi="Arial" w:hint="default"/>
      </w:rPr>
    </w:lvl>
    <w:lvl w:ilvl="2" w:tplc="5262D2F2" w:tentative="1">
      <w:start w:val="1"/>
      <w:numFmt w:val="bullet"/>
      <w:lvlText w:val="–"/>
      <w:lvlJc w:val="left"/>
      <w:pPr>
        <w:tabs>
          <w:tab w:val="num" w:pos="2160"/>
        </w:tabs>
        <w:ind w:left="2160" w:hanging="360"/>
      </w:pPr>
      <w:rPr>
        <w:rFonts w:ascii="Arial" w:hAnsi="Arial" w:hint="default"/>
      </w:rPr>
    </w:lvl>
    <w:lvl w:ilvl="3" w:tplc="2BA480FC" w:tentative="1">
      <w:start w:val="1"/>
      <w:numFmt w:val="bullet"/>
      <w:lvlText w:val="–"/>
      <w:lvlJc w:val="left"/>
      <w:pPr>
        <w:tabs>
          <w:tab w:val="num" w:pos="2880"/>
        </w:tabs>
        <w:ind w:left="2880" w:hanging="360"/>
      </w:pPr>
      <w:rPr>
        <w:rFonts w:ascii="Arial" w:hAnsi="Arial" w:hint="default"/>
      </w:rPr>
    </w:lvl>
    <w:lvl w:ilvl="4" w:tplc="CD34BFF0" w:tentative="1">
      <w:start w:val="1"/>
      <w:numFmt w:val="bullet"/>
      <w:lvlText w:val="–"/>
      <w:lvlJc w:val="left"/>
      <w:pPr>
        <w:tabs>
          <w:tab w:val="num" w:pos="3600"/>
        </w:tabs>
        <w:ind w:left="3600" w:hanging="360"/>
      </w:pPr>
      <w:rPr>
        <w:rFonts w:ascii="Arial" w:hAnsi="Arial" w:hint="default"/>
      </w:rPr>
    </w:lvl>
    <w:lvl w:ilvl="5" w:tplc="D4E636A0" w:tentative="1">
      <w:start w:val="1"/>
      <w:numFmt w:val="bullet"/>
      <w:lvlText w:val="–"/>
      <w:lvlJc w:val="left"/>
      <w:pPr>
        <w:tabs>
          <w:tab w:val="num" w:pos="4320"/>
        </w:tabs>
        <w:ind w:left="4320" w:hanging="360"/>
      </w:pPr>
      <w:rPr>
        <w:rFonts w:ascii="Arial" w:hAnsi="Arial" w:hint="default"/>
      </w:rPr>
    </w:lvl>
    <w:lvl w:ilvl="6" w:tplc="1F380B86" w:tentative="1">
      <w:start w:val="1"/>
      <w:numFmt w:val="bullet"/>
      <w:lvlText w:val="–"/>
      <w:lvlJc w:val="left"/>
      <w:pPr>
        <w:tabs>
          <w:tab w:val="num" w:pos="5040"/>
        </w:tabs>
        <w:ind w:left="5040" w:hanging="360"/>
      </w:pPr>
      <w:rPr>
        <w:rFonts w:ascii="Arial" w:hAnsi="Arial" w:hint="default"/>
      </w:rPr>
    </w:lvl>
    <w:lvl w:ilvl="7" w:tplc="4E381DE8" w:tentative="1">
      <w:start w:val="1"/>
      <w:numFmt w:val="bullet"/>
      <w:lvlText w:val="–"/>
      <w:lvlJc w:val="left"/>
      <w:pPr>
        <w:tabs>
          <w:tab w:val="num" w:pos="5760"/>
        </w:tabs>
        <w:ind w:left="5760" w:hanging="360"/>
      </w:pPr>
      <w:rPr>
        <w:rFonts w:ascii="Arial" w:hAnsi="Arial" w:hint="default"/>
      </w:rPr>
    </w:lvl>
    <w:lvl w:ilvl="8" w:tplc="C492B124" w:tentative="1">
      <w:start w:val="1"/>
      <w:numFmt w:val="bullet"/>
      <w:lvlText w:val="–"/>
      <w:lvlJc w:val="left"/>
      <w:pPr>
        <w:tabs>
          <w:tab w:val="num" w:pos="6480"/>
        </w:tabs>
        <w:ind w:left="6480" w:hanging="360"/>
      </w:pPr>
      <w:rPr>
        <w:rFonts w:ascii="Arial" w:hAnsi="Arial" w:hint="default"/>
      </w:rPr>
    </w:lvl>
  </w:abstractNum>
  <w:abstractNum w:abstractNumId="32">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61901592"/>
    <w:multiLevelType w:val="hybridMultilevel"/>
    <w:tmpl w:val="935C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0D1C8E"/>
    <w:multiLevelType w:val="hybridMultilevel"/>
    <w:tmpl w:val="698C9010"/>
    <w:lvl w:ilvl="0" w:tplc="1ED09D40">
      <w:start w:val="1"/>
      <w:numFmt w:val="bullet"/>
      <w:lvlText w:val="–"/>
      <w:lvlJc w:val="left"/>
      <w:pPr>
        <w:tabs>
          <w:tab w:val="num" w:pos="720"/>
        </w:tabs>
        <w:ind w:left="720" w:hanging="360"/>
      </w:pPr>
      <w:rPr>
        <w:rFonts w:ascii="Arial" w:hAnsi="Arial" w:hint="default"/>
      </w:rPr>
    </w:lvl>
    <w:lvl w:ilvl="1" w:tplc="15E09124">
      <w:start w:val="1"/>
      <w:numFmt w:val="bullet"/>
      <w:lvlText w:val="–"/>
      <w:lvlJc w:val="left"/>
      <w:pPr>
        <w:tabs>
          <w:tab w:val="num" w:pos="1440"/>
        </w:tabs>
        <w:ind w:left="1440" w:hanging="360"/>
      </w:pPr>
      <w:rPr>
        <w:rFonts w:ascii="Arial" w:hAnsi="Arial" w:hint="default"/>
      </w:rPr>
    </w:lvl>
    <w:lvl w:ilvl="2" w:tplc="B20E3698">
      <w:start w:val="644"/>
      <w:numFmt w:val="bullet"/>
      <w:lvlText w:val="•"/>
      <w:lvlJc w:val="left"/>
      <w:pPr>
        <w:tabs>
          <w:tab w:val="num" w:pos="2160"/>
        </w:tabs>
        <w:ind w:left="2160" w:hanging="360"/>
      </w:pPr>
      <w:rPr>
        <w:rFonts w:ascii="Arial" w:hAnsi="Arial" w:hint="default"/>
      </w:rPr>
    </w:lvl>
    <w:lvl w:ilvl="3" w:tplc="EB525AC8" w:tentative="1">
      <w:start w:val="1"/>
      <w:numFmt w:val="bullet"/>
      <w:lvlText w:val="–"/>
      <w:lvlJc w:val="left"/>
      <w:pPr>
        <w:tabs>
          <w:tab w:val="num" w:pos="2880"/>
        </w:tabs>
        <w:ind w:left="2880" w:hanging="360"/>
      </w:pPr>
      <w:rPr>
        <w:rFonts w:ascii="Arial" w:hAnsi="Arial" w:hint="default"/>
      </w:rPr>
    </w:lvl>
    <w:lvl w:ilvl="4" w:tplc="248EE84A" w:tentative="1">
      <w:start w:val="1"/>
      <w:numFmt w:val="bullet"/>
      <w:lvlText w:val="–"/>
      <w:lvlJc w:val="left"/>
      <w:pPr>
        <w:tabs>
          <w:tab w:val="num" w:pos="3600"/>
        </w:tabs>
        <w:ind w:left="3600" w:hanging="360"/>
      </w:pPr>
      <w:rPr>
        <w:rFonts w:ascii="Arial" w:hAnsi="Arial" w:hint="default"/>
      </w:rPr>
    </w:lvl>
    <w:lvl w:ilvl="5" w:tplc="0652B034" w:tentative="1">
      <w:start w:val="1"/>
      <w:numFmt w:val="bullet"/>
      <w:lvlText w:val="–"/>
      <w:lvlJc w:val="left"/>
      <w:pPr>
        <w:tabs>
          <w:tab w:val="num" w:pos="4320"/>
        </w:tabs>
        <w:ind w:left="4320" w:hanging="360"/>
      </w:pPr>
      <w:rPr>
        <w:rFonts w:ascii="Arial" w:hAnsi="Arial" w:hint="default"/>
      </w:rPr>
    </w:lvl>
    <w:lvl w:ilvl="6" w:tplc="547ED3DE" w:tentative="1">
      <w:start w:val="1"/>
      <w:numFmt w:val="bullet"/>
      <w:lvlText w:val="–"/>
      <w:lvlJc w:val="left"/>
      <w:pPr>
        <w:tabs>
          <w:tab w:val="num" w:pos="5040"/>
        </w:tabs>
        <w:ind w:left="5040" w:hanging="360"/>
      </w:pPr>
      <w:rPr>
        <w:rFonts w:ascii="Arial" w:hAnsi="Arial" w:hint="default"/>
      </w:rPr>
    </w:lvl>
    <w:lvl w:ilvl="7" w:tplc="71AA1B58" w:tentative="1">
      <w:start w:val="1"/>
      <w:numFmt w:val="bullet"/>
      <w:lvlText w:val="–"/>
      <w:lvlJc w:val="left"/>
      <w:pPr>
        <w:tabs>
          <w:tab w:val="num" w:pos="5760"/>
        </w:tabs>
        <w:ind w:left="5760" w:hanging="360"/>
      </w:pPr>
      <w:rPr>
        <w:rFonts w:ascii="Arial" w:hAnsi="Arial" w:hint="default"/>
      </w:rPr>
    </w:lvl>
    <w:lvl w:ilvl="8" w:tplc="842E5D20" w:tentative="1">
      <w:start w:val="1"/>
      <w:numFmt w:val="bullet"/>
      <w:lvlText w:val="–"/>
      <w:lvlJc w:val="left"/>
      <w:pPr>
        <w:tabs>
          <w:tab w:val="num" w:pos="6480"/>
        </w:tabs>
        <w:ind w:left="6480" w:hanging="360"/>
      </w:pPr>
      <w:rPr>
        <w:rFonts w:ascii="Arial" w:hAnsi="Arial" w:hint="default"/>
      </w:rPr>
    </w:lvl>
  </w:abstractNum>
  <w:abstractNum w:abstractNumId="38">
    <w:nsid w:val="76FF5F1D"/>
    <w:multiLevelType w:val="hybridMultilevel"/>
    <w:tmpl w:val="9ADEDD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2">
    <w:nsid w:val="7B1E7845"/>
    <w:multiLevelType w:val="hybridMultilevel"/>
    <w:tmpl w:val="B43C0A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14"/>
  </w:num>
  <w:num w:numId="3">
    <w:abstractNumId w:val="21"/>
  </w:num>
  <w:num w:numId="4">
    <w:abstractNumId w:val="15"/>
  </w:num>
  <w:num w:numId="5">
    <w:abstractNumId w:val="23"/>
  </w:num>
  <w:num w:numId="6">
    <w:abstractNumId w:val="44"/>
  </w:num>
  <w:num w:numId="7">
    <w:abstractNumId w:val="24"/>
  </w:num>
  <w:num w:numId="8">
    <w:abstractNumId w:val="22"/>
  </w:num>
  <w:num w:numId="9">
    <w:abstractNumId w:val="40"/>
  </w:num>
  <w:num w:numId="10">
    <w:abstractNumId w:val="20"/>
  </w:num>
  <w:num w:numId="11">
    <w:abstractNumId w:val="8"/>
  </w:num>
  <w:num w:numId="12">
    <w:abstractNumId w:val="32"/>
  </w:num>
  <w:num w:numId="13">
    <w:abstractNumId w:val="13"/>
  </w:num>
  <w:num w:numId="14">
    <w:abstractNumId w:val="4"/>
  </w:num>
  <w:num w:numId="15">
    <w:abstractNumId w:val="39"/>
  </w:num>
  <w:num w:numId="16">
    <w:abstractNumId w:val="35"/>
  </w:num>
  <w:num w:numId="17">
    <w:abstractNumId w:val="41"/>
  </w:num>
  <w:num w:numId="18">
    <w:abstractNumId w:val="34"/>
  </w:num>
  <w:num w:numId="19">
    <w:abstractNumId w:val="7"/>
  </w:num>
  <w:num w:numId="20">
    <w:abstractNumId w:val="2"/>
  </w:num>
  <w:num w:numId="21">
    <w:abstractNumId w:val="36"/>
  </w:num>
  <w:num w:numId="22">
    <w:abstractNumId w:val="16"/>
  </w:num>
  <w:num w:numId="23">
    <w:abstractNumId w:val="17"/>
  </w:num>
  <w:num w:numId="24">
    <w:abstractNumId w:val="33"/>
  </w:num>
  <w:num w:numId="25">
    <w:abstractNumId w:val="26"/>
  </w:num>
  <w:num w:numId="26">
    <w:abstractNumId w:val="28"/>
  </w:num>
  <w:num w:numId="27">
    <w:abstractNumId w:val="12"/>
  </w:num>
  <w:num w:numId="28">
    <w:abstractNumId w:val="5"/>
  </w:num>
  <w:num w:numId="29">
    <w:abstractNumId w:val="27"/>
  </w:num>
  <w:num w:numId="30">
    <w:abstractNumId w:val="29"/>
  </w:num>
  <w:num w:numId="31">
    <w:abstractNumId w:val="25"/>
  </w:num>
  <w:num w:numId="32">
    <w:abstractNumId w:val="9"/>
  </w:num>
  <w:num w:numId="33">
    <w:abstractNumId w:val="11"/>
  </w:num>
  <w:num w:numId="34">
    <w:abstractNumId w:val="1"/>
  </w:num>
  <w:num w:numId="35">
    <w:abstractNumId w:val="6"/>
  </w:num>
  <w:num w:numId="36">
    <w:abstractNumId w:val="0"/>
  </w:num>
  <w:num w:numId="37">
    <w:abstractNumId w:val="18"/>
  </w:num>
  <w:num w:numId="38">
    <w:abstractNumId w:val="31"/>
  </w:num>
  <w:num w:numId="39">
    <w:abstractNumId w:val="10"/>
  </w:num>
  <w:num w:numId="40">
    <w:abstractNumId w:val="37"/>
  </w:num>
  <w:num w:numId="41">
    <w:abstractNumId w:val="19"/>
  </w:num>
  <w:num w:numId="42">
    <w:abstractNumId w:val="38"/>
  </w:num>
  <w:num w:numId="43">
    <w:abstractNumId w:val="30"/>
  </w:num>
  <w:num w:numId="44">
    <w:abstractNumId w:val="42"/>
  </w:num>
  <w:num w:numId="45">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62669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07DA"/>
    <w:rsid w:val="000128FB"/>
    <w:rsid w:val="00012930"/>
    <w:rsid w:val="00012E39"/>
    <w:rsid w:val="00014184"/>
    <w:rsid w:val="00014189"/>
    <w:rsid w:val="000154C5"/>
    <w:rsid w:val="0001696F"/>
    <w:rsid w:val="00017308"/>
    <w:rsid w:val="00022336"/>
    <w:rsid w:val="00023D9C"/>
    <w:rsid w:val="00027F39"/>
    <w:rsid w:val="00030BAF"/>
    <w:rsid w:val="000314BE"/>
    <w:rsid w:val="00032720"/>
    <w:rsid w:val="00033656"/>
    <w:rsid w:val="00033728"/>
    <w:rsid w:val="0003612C"/>
    <w:rsid w:val="00037F62"/>
    <w:rsid w:val="000411C0"/>
    <w:rsid w:val="00042BCC"/>
    <w:rsid w:val="00042C3D"/>
    <w:rsid w:val="00043F7C"/>
    <w:rsid w:val="0004416F"/>
    <w:rsid w:val="0004434E"/>
    <w:rsid w:val="000451BC"/>
    <w:rsid w:val="000467F0"/>
    <w:rsid w:val="0005057D"/>
    <w:rsid w:val="00051E38"/>
    <w:rsid w:val="00051F7D"/>
    <w:rsid w:val="00052096"/>
    <w:rsid w:val="00052635"/>
    <w:rsid w:val="00052795"/>
    <w:rsid w:val="00053328"/>
    <w:rsid w:val="000533F1"/>
    <w:rsid w:val="0005443E"/>
    <w:rsid w:val="00055C73"/>
    <w:rsid w:val="00056071"/>
    <w:rsid w:val="00057381"/>
    <w:rsid w:val="00060703"/>
    <w:rsid w:val="00060E49"/>
    <w:rsid w:val="00061723"/>
    <w:rsid w:val="000624CA"/>
    <w:rsid w:val="00062FE2"/>
    <w:rsid w:val="000636B8"/>
    <w:rsid w:val="000648AB"/>
    <w:rsid w:val="00064F94"/>
    <w:rsid w:val="000650EB"/>
    <w:rsid w:val="00065240"/>
    <w:rsid w:val="00065E37"/>
    <w:rsid w:val="0006799E"/>
    <w:rsid w:val="00070277"/>
    <w:rsid w:val="000703F3"/>
    <w:rsid w:val="0007080B"/>
    <w:rsid w:val="00070B5E"/>
    <w:rsid w:val="00070EBD"/>
    <w:rsid w:val="0007169D"/>
    <w:rsid w:val="00072A71"/>
    <w:rsid w:val="00072A74"/>
    <w:rsid w:val="000732A0"/>
    <w:rsid w:val="000737BB"/>
    <w:rsid w:val="0007382B"/>
    <w:rsid w:val="0007415F"/>
    <w:rsid w:val="00074665"/>
    <w:rsid w:val="00075199"/>
    <w:rsid w:val="00075955"/>
    <w:rsid w:val="00075E59"/>
    <w:rsid w:val="00076024"/>
    <w:rsid w:val="000765DA"/>
    <w:rsid w:val="000773F0"/>
    <w:rsid w:val="00083F98"/>
    <w:rsid w:val="00085AEF"/>
    <w:rsid w:val="0008605F"/>
    <w:rsid w:val="00086A29"/>
    <w:rsid w:val="00087E97"/>
    <w:rsid w:val="0009005F"/>
    <w:rsid w:val="0009032E"/>
    <w:rsid w:val="00090ED8"/>
    <w:rsid w:val="00091B52"/>
    <w:rsid w:val="00092939"/>
    <w:rsid w:val="00093702"/>
    <w:rsid w:val="00093ACD"/>
    <w:rsid w:val="0009455A"/>
    <w:rsid w:val="00094E12"/>
    <w:rsid w:val="00095947"/>
    <w:rsid w:val="00097C49"/>
    <w:rsid w:val="00097D0D"/>
    <w:rsid w:val="000A01F5"/>
    <w:rsid w:val="000A0BCF"/>
    <w:rsid w:val="000A0FAF"/>
    <w:rsid w:val="000A1450"/>
    <w:rsid w:val="000A27B9"/>
    <w:rsid w:val="000A2AC7"/>
    <w:rsid w:val="000A2EBC"/>
    <w:rsid w:val="000A31DC"/>
    <w:rsid w:val="000A32E0"/>
    <w:rsid w:val="000A374A"/>
    <w:rsid w:val="000A404B"/>
    <w:rsid w:val="000A4343"/>
    <w:rsid w:val="000A7590"/>
    <w:rsid w:val="000B0266"/>
    <w:rsid w:val="000B1355"/>
    <w:rsid w:val="000B2162"/>
    <w:rsid w:val="000B2497"/>
    <w:rsid w:val="000B2582"/>
    <w:rsid w:val="000B29CE"/>
    <w:rsid w:val="000B39A7"/>
    <w:rsid w:val="000B6201"/>
    <w:rsid w:val="000B6F82"/>
    <w:rsid w:val="000B7610"/>
    <w:rsid w:val="000C0156"/>
    <w:rsid w:val="000C19E7"/>
    <w:rsid w:val="000C1E08"/>
    <w:rsid w:val="000C3E95"/>
    <w:rsid w:val="000C4FA4"/>
    <w:rsid w:val="000C5673"/>
    <w:rsid w:val="000C70D8"/>
    <w:rsid w:val="000C7D3C"/>
    <w:rsid w:val="000D1D70"/>
    <w:rsid w:val="000D21E9"/>
    <w:rsid w:val="000D231C"/>
    <w:rsid w:val="000D4DE4"/>
    <w:rsid w:val="000D5FF3"/>
    <w:rsid w:val="000D65D7"/>
    <w:rsid w:val="000D7554"/>
    <w:rsid w:val="000D76BB"/>
    <w:rsid w:val="000D76EA"/>
    <w:rsid w:val="000D793E"/>
    <w:rsid w:val="000D7BBC"/>
    <w:rsid w:val="000E1519"/>
    <w:rsid w:val="000E3133"/>
    <w:rsid w:val="000E3FBD"/>
    <w:rsid w:val="000E5B92"/>
    <w:rsid w:val="000E6B9E"/>
    <w:rsid w:val="000F222D"/>
    <w:rsid w:val="000F48D5"/>
    <w:rsid w:val="000F4A91"/>
    <w:rsid w:val="000F586D"/>
    <w:rsid w:val="000F61E8"/>
    <w:rsid w:val="000F6624"/>
    <w:rsid w:val="000F694F"/>
    <w:rsid w:val="000F6CDC"/>
    <w:rsid w:val="000F6EC1"/>
    <w:rsid w:val="000F7430"/>
    <w:rsid w:val="000F7BD9"/>
    <w:rsid w:val="00100289"/>
    <w:rsid w:val="00100F0D"/>
    <w:rsid w:val="0010212F"/>
    <w:rsid w:val="0010414E"/>
    <w:rsid w:val="00104BBC"/>
    <w:rsid w:val="001055E0"/>
    <w:rsid w:val="0010729D"/>
    <w:rsid w:val="001072DE"/>
    <w:rsid w:val="00112AC8"/>
    <w:rsid w:val="00112CF0"/>
    <w:rsid w:val="00113B35"/>
    <w:rsid w:val="00113BF9"/>
    <w:rsid w:val="0011497E"/>
    <w:rsid w:val="00114F67"/>
    <w:rsid w:val="00115BFE"/>
    <w:rsid w:val="00116121"/>
    <w:rsid w:val="00116183"/>
    <w:rsid w:val="0011709C"/>
    <w:rsid w:val="001206D7"/>
    <w:rsid w:val="001215D7"/>
    <w:rsid w:val="00122687"/>
    <w:rsid w:val="0012297E"/>
    <w:rsid w:val="00122AB9"/>
    <w:rsid w:val="001231EC"/>
    <w:rsid w:val="001235D5"/>
    <w:rsid w:val="00126145"/>
    <w:rsid w:val="001277C7"/>
    <w:rsid w:val="00127D7C"/>
    <w:rsid w:val="001302A6"/>
    <w:rsid w:val="001318B4"/>
    <w:rsid w:val="00131AA2"/>
    <w:rsid w:val="00131B5F"/>
    <w:rsid w:val="00131C58"/>
    <w:rsid w:val="00132565"/>
    <w:rsid w:val="0013295C"/>
    <w:rsid w:val="00134105"/>
    <w:rsid w:val="00135DF6"/>
    <w:rsid w:val="00136836"/>
    <w:rsid w:val="00137821"/>
    <w:rsid w:val="00140B9C"/>
    <w:rsid w:val="00140F02"/>
    <w:rsid w:val="00141DF0"/>
    <w:rsid w:val="00143B88"/>
    <w:rsid w:val="00143E06"/>
    <w:rsid w:val="00143EA0"/>
    <w:rsid w:val="001442F6"/>
    <w:rsid w:val="00145121"/>
    <w:rsid w:val="00146128"/>
    <w:rsid w:val="00146989"/>
    <w:rsid w:val="0014740A"/>
    <w:rsid w:val="001475A2"/>
    <w:rsid w:val="001477A7"/>
    <w:rsid w:val="00151481"/>
    <w:rsid w:val="00153077"/>
    <w:rsid w:val="00153536"/>
    <w:rsid w:val="001539E9"/>
    <w:rsid w:val="00153A0B"/>
    <w:rsid w:val="00154732"/>
    <w:rsid w:val="00154D44"/>
    <w:rsid w:val="00157B19"/>
    <w:rsid w:val="00157E2E"/>
    <w:rsid w:val="00160989"/>
    <w:rsid w:val="00161014"/>
    <w:rsid w:val="00162B22"/>
    <w:rsid w:val="00164066"/>
    <w:rsid w:val="00165753"/>
    <w:rsid w:val="0016677D"/>
    <w:rsid w:val="001667BB"/>
    <w:rsid w:val="0016721B"/>
    <w:rsid w:val="00171139"/>
    <w:rsid w:val="00171C4F"/>
    <w:rsid w:val="001721E6"/>
    <w:rsid w:val="0017230A"/>
    <w:rsid w:val="0017375B"/>
    <w:rsid w:val="001742D5"/>
    <w:rsid w:val="00174436"/>
    <w:rsid w:val="001744C4"/>
    <w:rsid w:val="00175566"/>
    <w:rsid w:val="00176748"/>
    <w:rsid w:val="001767E6"/>
    <w:rsid w:val="00176BA3"/>
    <w:rsid w:val="00177A4D"/>
    <w:rsid w:val="0018036E"/>
    <w:rsid w:val="00180466"/>
    <w:rsid w:val="0018088C"/>
    <w:rsid w:val="00180E90"/>
    <w:rsid w:val="00181456"/>
    <w:rsid w:val="001825DA"/>
    <w:rsid w:val="00184180"/>
    <w:rsid w:val="001841A8"/>
    <w:rsid w:val="00184496"/>
    <w:rsid w:val="00184A6D"/>
    <w:rsid w:val="00184A8E"/>
    <w:rsid w:val="00184AF5"/>
    <w:rsid w:val="00185733"/>
    <w:rsid w:val="00190A8D"/>
    <w:rsid w:val="00191922"/>
    <w:rsid w:val="001942B4"/>
    <w:rsid w:val="00194BDB"/>
    <w:rsid w:val="00196645"/>
    <w:rsid w:val="00196BE4"/>
    <w:rsid w:val="00197EB7"/>
    <w:rsid w:val="001A0574"/>
    <w:rsid w:val="001A0811"/>
    <w:rsid w:val="001A18EC"/>
    <w:rsid w:val="001A23F8"/>
    <w:rsid w:val="001A2F99"/>
    <w:rsid w:val="001A502F"/>
    <w:rsid w:val="001A5421"/>
    <w:rsid w:val="001A6491"/>
    <w:rsid w:val="001A6A49"/>
    <w:rsid w:val="001A6F17"/>
    <w:rsid w:val="001B007F"/>
    <w:rsid w:val="001B00A5"/>
    <w:rsid w:val="001B21A1"/>
    <w:rsid w:val="001B2BF3"/>
    <w:rsid w:val="001B2CDE"/>
    <w:rsid w:val="001B48B3"/>
    <w:rsid w:val="001B5912"/>
    <w:rsid w:val="001B5A64"/>
    <w:rsid w:val="001B7DBD"/>
    <w:rsid w:val="001C05BA"/>
    <w:rsid w:val="001C06FA"/>
    <w:rsid w:val="001C12F2"/>
    <w:rsid w:val="001C1406"/>
    <w:rsid w:val="001C22D4"/>
    <w:rsid w:val="001C2314"/>
    <w:rsid w:val="001C3DF5"/>
    <w:rsid w:val="001C40B4"/>
    <w:rsid w:val="001C458A"/>
    <w:rsid w:val="001C45C0"/>
    <w:rsid w:val="001C6D14"/>
    <w:rsid w:val="001D0726"/>
    <w:rsid w:val="001D0A42"/>
    <w:rsid w:val="001D4ADA"/>
    <w:rsid w:val="001D57A2"/>
    <w:rsid w:val="001D5B00"/>
    <w:rsid w:val="001D5F96"/>
    <w:rsid w:val="001D6048"/>
    <w:rsid w:val="001D66D7"/>
    <w:rsid w:val="001D6D50"/>
    <w:rsid w:val="001D6E17"/>
    <w:rsid w:val="001D7738"/>
    <w:rsid w:val="001E0A05"/>
    <w:rsid w:val="001E1036"/>
    <w:rsid w:val="001E116B"/>
    <w:rsid w:val="001E29C0"/>
    <w:rsid w:val="001E6124"/>
    <w:rsid w:val="001E6A20"/>
    <w:rsid w:val="001F0617"/>
    <w:rsid w:val="001F07A9"/>
    <w:rsid w:val="001F1783"/>
    <w:rsid w:val="001F276B"/>
    <w:rsid w:val="001F4D79"/>
    <w:rsid w:val="001F5B0C"/>
    <w:rsid w:val="001F6825"/>
    <w:rsid w:val="001F7773"/>
    <w:rsid w:val="00201729"/>
    <w:rsid w:val="00201C97"/>
    <w:rsid w:val="0020218A"/>
    <w:rsid w:val="00202467"/>
    <w:rsid w:val="00204FE8"/>
    <w:rsid w:val="00205D83"/>
    <w:rsid w:val="00206526"/>
    <w:rsid w:val="0020686F"/>
    <w:rsid w:val="00206AE9"/>
    <w:rsid w:val="002075D1"/>
    <w:rsid w:val="00207A50"/>
    <w:rsid w:val="00212510"/>
    <w:rsid w:val="0021415D"/>
    <w:rsid w:val="0021534F"/>
    <w:rsid w:val="00217556"/>
    <w:rsid w:val="002175BA"/>
    <w:rsid w:val="002207E3"/>
    <w:rsid w:val="00220CE0"/>
    <w:rsid w:val="00221120"/>
    <w:rsid w:val="00222F98"/>
    <w:rsid w:val="00223E00"/>
    <w:rsid w:val="0022453B"/>
    <w:rsid w:val="00224645"/>
    <w:rsid w:val="0022597F"/>
    <w:rsid w:val="002263C5"/>
    <w:rsid w:val="00226D96"/>
    <w:rsid w:val="0022720E"/>
    <w:rsid w:val="002277CC"/>
    <w:rsid w:val="00227948"/>
    <w:rsid w:val="00227FD4"/>
    <w:rsid w:val="0023064C"/>
    <w:rsid w:val="00230772"/>
    <w:rsid w:val="00230C5B"/>
    <w:rsid w:val="002319D7"/>
    <w:rsid w:val="00233288"/>
    <w:rsid w:val="002333B7"/>
    <w:rsid w:val="00233818"/>
    <w:rsid w:val="002341D4"/>
    <w:rsid w:val="002343A7"/>
    <w:rsid w:val="002363A9"/>
    <w:rsid w:val="002364D1"/>
    <w:rsid w:val="002400B0"/>
    <w:rsid w:val="00242766"/>
    <w:rsid w:val="00244728"/>
    <w:rsid w:val="00244D42"/>
    <w:rsid w:val="0024567E"/>
    <w:rsid w:val="00245DC5"/>
    <w:rsid w:val="00246EDF"/>
    <w:rsid w:val="00247311"/>
    <w:rsid w:val="00247BD7"/>
    <w:rsid w:val="002519B7"/>
    <w:rsid w:val="00251E7C"/>
    <w:rsid w:val="00252E45"/>
    <w:rsid w:val="002530C6"/>
    <w:rsid w:val="0025650E"/>
    <w:rsid w:val="002576FD"/>
    <w:rsid w:val="0026326B"/>
    <w:rsid w:val="0026381B"/>
    <w:rsid w:val="002643C3"/>
    <w:rsid w:val="00266958"/>
    <w:rsid w:val="00266EE7"/>
    <w:rsid w:val="00267558"/>
    <w:rsid w:val="0026790F"/>
    <w:rsid w:val="00267946"/>
    <w:rsid w:val="00272467"/>
    <w:rsid w:val="0027255D"/>
    <w:rsid w:val="00273A29"/>
    <w:rsid w:val="00274701"/>
    <w:rsid w:val="00275CFE"/>
    <w:rsid w:val="00275F7C"/>
    <w:rsid w:val="0027765B"/>
    <w:rsid w:val="002779F4"/>
    <w:rsid w:val="00277D19"/>
    <w:rsid w:val="00280DC7"/>
    <w:rsid w:val="00281707"/>
    <w:rsid w:val="00282A11"/>
    <w:rsid w:val="00282AA4"/>
    <w:rsid w:val="00283F82"/>
    <w:rsid w:val="00284B7D"/>
    <w:rsid w:val="0028512D"/>
    <w:rsid w:val="00285137"/>
    <w:rsid w:val="0028575C"/>
    <w:rsid w:val="00285AF8"/>
    <w:rsid w:val="00286183"/>
    <w:rsid w:val="00290CF4"/>
    <w:rsid w:val="0029127B"/>
    <w:rsid w:val="00291327"/>
    <w:rsid w:val="00292061"/>
    <w:rsid w:val="0029298C"/>
    <w:rsid w:val="0029305F"/>
    <w:rsid w:val="002938A5"/>
    <w:rsid w:val="002948BE"/>
    <w:rsid w:val="00295775"/>
    <w:rsid w:val="002959F6"/>
    <w:rsid w:val="002960F4"/>
    <w:rsid w:val="0029662E"/>
    <w:rsid w:val="002970EA"/>
    <w:rsid w:val="002973B9"/>
    <w:rsid w:val="002973C9"/>
    <w:rsid w:val="002974D4"/>
    <w:rsid w:val="002A1865"/>
    <w:rsid w:val="002A2FA8"/>
    <w:rsid w:val="002A3C50"/>
    <w:rsid w:val="002A3E5A"/>
    <w:rsid w:val="002A54A2"/>
    <w:rsid w:val="002A7BF9"/>
    <w:rsid w:val="002B09BE"/>
    <w:rsid w:val="002B1187"/>
    <w:rsid w:val="002B2203"/>
    <w:rsid w:val="002B2CDB"/>
    <w:rsid w:val="002B40F3"/>
    <w:rsid w:val="002B47DF"/>
    <w:rsid w:val="002B4D7C"/>
    <w:rsid w:val="002B661D"/>
    <w:rsid w:val="002B66F7"/>
    <w:rsid w:val="002B6A52"/>
    <w:rsid w:val="002B6BAA"/>
    <w:rsid w:val="002C081C"/>
    <w:rsid w:val="002C09CF"/>
    <w:rsid w:val="002C1BF6"/>
    <w:rsid w:val="002C368B"/>
    <w:rsid w:val="002C370A"/>
    <w:rsid w:val="002C3C80"/>
    <w:rsid w:val="002C40E2"/>
    <w:rsid w:val="002C62E9"/>
    <w:rsid w:val="002C7A5D"/>
    <w:rsid w:val="002C7B26"/>
    <w:rsid w:val="002D02D4"/>
    <w:rsid w:val="002D10A8"/>
    <w:rsid w:val="002D146D"/>
    <w:rsid w:val="002D1BDB"/>
    <w:rsid w:val="002D35FA"/>
    <w:rsid w:val="002D3B82"/>
    <w:rsid w:val="002D4FD2"/>
    <w:rsid w:val="002D5584"/>
    <w:rsid w:val="002D670F"/>
    <w:rsid w:val="002D6B43"/>
    <w:rsid w:val="002D6B6C"/>
    <w:rsid w:val="002D714B"/>
    <w:rsid w:val="002D72EF"/>
    <w:rsid w:val="002E07E3"/>
    <w:rsid w:val="002E33C2"/>
    <w:rsid w:val="002E33D8"/>
    <w:rsid w:val="002E4990"/>
    <w:rsid w:val="002E4C97"/>
    <w:rsid w:val="002E59C8"/>
    <w:rsid w:val="002E794D"/>
    <w:rsid w:val="002E7B45"/>
    <w:rsid w:val="002E7E8D"/>
    <w:rsid w:val="002F0126"/>
    <w:rsid w:val="002F1C49"/>
    <w:rsid w:val="002F1ECC"/>
    <w:rsid w:val="002F2FF2"/>
    <w:rsid w:val="002F30D8"/>
    <w:rsid w:val="002F3759"/>
    <w:rsid w:val="002F3C3E"/>
    <w:rsid w:val="002F5517"/>
    <w:rsid w:val="002F63A8"/>
    <w:rsid w:val="002F6710"/>
    <w:rsid w:val="002F6A5C"/>
    <w:rsid w:val="002F6BF2"/>
    <w:rsid w:val="002F7C7C"/>
    <w:rsid w:val="00304994"/>
    <w:rsid w:val="00305531"/>
    <w:rsid w:val="00305935"/>
    <w:rsid w:val="00305E8A"/>
    <w:rsid w:val="0030764B"/>
    <w:rsid w:val="003102EE"/>
    <w:rsid w:val="00310A97"/>
    <w:rsid w:val="00310F79"/>
    <w:rsid w:val="003113B6"/>
    <w:rsid w:val="00311E3B"/>
    <w:rsid w:val="003128D3"/>
    <w:rsid w:val="00312C1A"/>
    <w:rsid w:val="00312D60"/>
    <w:rsid w:val="00312DD1"/>
    <w:rsid w:val="003139CD"/>
    <w:rsid w:val="00313E5D"/>
    <w:rsid w:val="003146B0"/>
    <w:rsid w:val="00314B1B"/>
    <w:rsid w:val="0031570F"/>
    <w:rsid w:val="003162A2"/>
    <w:rsid w:val="00316AC3"/>
    <w:rsid w:val="00320818"/>
    <w:rsid w:val="00323910"/>
    <w:rsid w:val="00323AC2"/>
    <w:rsid w:val="00324313"/>
    <w:rsid w:val="00324564"/>
    <w:rsid w:val="003254A1"/>
    <w:rsid w:val="00325D04"/>
    <w:rsid w:val="0032665A"/>
    <w:rsid w:val="00326B92"/>
    <w:rsid w:val="003279FC"/>
    <w:rsid w:val="0033176D"/>
    <w:rsid w:val="003319E1"/>
    <w:rsid w:val="00331C94"/>
    <w:rsid w:val="00334DD9"/>
    <w:rsid w:val="00334E36"/>
    <w:rsid w:val="00335EFC"/>
    <w:rsid w:val="00336388"/>
    <w:rsid w:val="00336885"/>
    <w:rsid w:val="00337150"/>
    <w:rsid w:val="00337B21"/>
    <w:rsid w:val="00340516"/>
    <w:rsid w:val="003405F9"/>
    <w:rsid w:val="003417A5"/>
    <w:rsid w:val="00341B32"/>
    <w:rsid w:val="00341FA2"/>
    <w:rsid w:val="003443E4"/>
    <w:rsid w:val="00346CE0"/>
    <w:rsid w:val="00346DFF"/>
    <w:rsid w:val="00347F67"/>
    <w:rsid w:val="003504B5"/>
    <w:rsid w:val="00350583"/>
    <w:rsid w:val="00350B8B"/>
    <w:rsid w:val="0035288E"/>
    <w:rsid w:val="003533A7"/>
    <w:rsid w:val="003565AF"/>
    <w:rsid w:val="00356E80"/>
    <w:rsid w:val="00360683"/>
    <w:rsid w:val="003627E7"/>
    <w:rsid w:val="00362C01"/>
    <w:rsid w:val="003631E5"/>
    <w:rsid w:val="00364B22"/>
    <w:rsid w:val="00364C6F"/>
    <w:rsid w:val="00367F40"/>
    <w:rsid w:val="00370089"/>
    <w:rsid w:val="003711F8"/>
    <w:rsid w:val="00371980"/>
    <w:rsid w:val="00373017"/>
    <w:rsid w:val="00373B81"/>
    <w:rsid w:val="0037521A"/>
    <w:rsid w:val="00375D57"/>
    <w:rsid w:val="00377306"/>
    <w:rsid w:val="00377A32"/>
    <w:rsid w:val="0038036B"/>
    <w:rsid w:val="00380D49"/>
    <w:rsid w:val="00381656"/>
    <w:rsid w:val="00381ADE"/>
    <w:rsid w:val="00383571"/>
    <w:rsid w:val="00385BC5"/>
    <w:rsid w:val="003864D7"/>
    <w:rsid w:val="00387774"/>
    <w:rsid w:val="00391673"/>
    <w:rsid w:val="00392106"/>
    <w:rsid w:val="0039276D"/>
    <w:rsid w:val="00392780"/>
    <w:rsid w:val="00392963"/>
    <w:rsid w:val="00393DB3"/>
    <w:rsid w:val="003946D4"/>
    <w:rsid w:val="00394E1E"/>
    <w:rsid w:val="00396973"/>
    <w:rsid w:val="00397115"/>
    <w:rsid w:val="003977A1"/>
    <w:rsid w:val="00397CC2"/>
    <w:rsid w:val="003A13E4"/>
    <w:rsid w:val="003A15B3"/>
    <w:rsid w:val="003A2A06"/>
    <w:rsid w:val="003A2C25"/>
    <w:rsid w:val="003A2F50"/>
    <w:rsid w:val="003A3800"/>
    <w:rsid w:val="003A4CF6"/>
    <w:rsid w:val="003A6500"/>
    <w:rsid w:val="003A6C83"/>
    <w:rsid w:val="003B1414"/>
    <w:rsid w:val="003B2274"/>
    <w:rsid w:val="003B2D9F"/>
    <w:rsid w:val="003B3872"/>
    <w:rsid w:val="003B3883"/>
    <w:rsid w:val="003B40ED"/>
    <w:rsid w:val="003B46C8"/>
    <w:rsid w:val="003B4702"/>
    <w:rsid w:val="003B5CF4"/>
    <w:rsid w:val="003B668E"/>
    <w:rsid w:val="003B7FE7"/>
    <w:rsid w:val="003C18A9"/>
    <w:rsid w:val="003C361A"/>
    <w:rsid w:val="003C3674"/>
    <w:rsid w:val="003C3980"/>
    <w:rsid w:val="003C3FCC"/>
    <w:rsid w:val="003C70DA"/>
    <w:rsid w:val="003C7262"/>
    <w:rsid w:val="003D0207"/>
    <w:rsid w:val="003D02BF"/>
    <w:rsid w:val="003D1018"/>
    <w:rsid w:val="003D1556"/>
    <w:rsid w:val="003D1912"/>
    <w:rsid w:val="003D2D35"/>
    <w:rsid w:val="003D3730"/>
    <w:rsid w:val="003D3EA3"/>
    <w:rsid w:val="003D4CBE"/>
    <w:rsid w:val="003D4CD1"/>
    <w:rsid w:val="003D55F9"/>
    <w:rsid w:val="003D738C"/>
    <w:rsid w:val="003D7F75"/>
    <w:rsid w:val="003E01D4"/>
    <w:rsid w:val="003E4161"/>
    <w:rsid w:val="003E482C"/>
    <w:rsid w:val="003F1181"/>
    <w:rsid w:val="003F28BC"/>
    <w:rsid w:val="003F448B"/>
    <w:rsid w:val="003F47F3"/>
    <w:rsid w:val="003F546E"/>
    <w:rsid w:val="003F58F6"/>
    <w:rsid w:val="003F6C98"/>
    <w:rsid w:val="004000BE"/>
    <w:rsid w:val="004019E1"/>
    <w:rsid w:val="00401A8A"/>
    <w:rsid w:val="00403BB7"/>
    <w:rsid w:val="004043F0"/>
    <w:rsid w:val="0040477F"/>
    <w:rsid w:val="0040717F"/>
    <w:rsid w:val="004074BD"/>
    <w:rsid w:val="0040796A"/>
    <w:rsid w:val="00411AA7"/>
    <w:rsid w:val="00412643"/>
    <w:rsid w:val="00412AFA"/>
    <w:rsid w:val="00413229"/>
    <w:rsid w:val="004137FF"/>
    <w:rsid w:val="004143B4"/>
    <w:rsid w:val="004146BF"/>
    <w:rsid w:val="004147B5"/>
    <w:rsid w:val="00414B30"/>
    <w:rsid w:val="00414D93"/>
    <w:rsid w:val="00417495"/>
    <w:rsid w:val="00420162"/>
    <w:rsid w:val="00421096"/>
    <w:rsid w:val="0042159B"/>
    <w:rsid w:val="00421F2C"/>
    <w:rsid w:val="00422A80"/>
    <w:rsid w:val="00422CC9"/>
    <w:rsid w:val="00423C2D"/>
    <w:rsid w:val="0042471C"/>
    <w:rsid w:val="00425289"/>
    <w:rsid w:val="0042582A"/>
    <w:rsid w:val="00425DF0"/>
    <w:rsid w:val="004265A0"/>
    <w:rsid w:val="00426B02"/>
    <w:rsid w:val="00427917"/>
    <w:rsid w:val="00430147"/>
    <w:rsid w:val="00432D5A"/>
    <w:rsid w:val="0043385C"/>
    <w:rsid w:val="00433C87"/>
    <w:rsid w:val="00434B25"/>
    <w:rsid w:val="00435AD0"/>
    <w:rsid w:val="00437667"/>
    <w:rsid w:val="00440043"/>
    <w:rsid w:val="00440687"/>
    <w:rsid w:val="004417A2"/>
    <w:rsid w:val="00441AA1"/>
    <w:rsid w:val="00445F7B"/>
    <w:rsid w:val="00446005"/>
    <w:rsid w:val="004463B5"/>
    <w:rsid w:val="00446AE1"/>
    <w:rsid w:val="0044782C"/>
    <w:rsid w:val="00450A5A"/>
    <w:rsid w:val="00452A0A"/>
    <w:rsid w:val="00452D8A"/>
    <w:rsid w:val="0045443E"/>
    <w:rsid w:val="0045506B"/>
    <w:rsid w:val="004553CB"/>
    <w:rsid w:val="00455AC6"/>
    <w:rsid w:val="0046088D"/>
    <w:rsid w:val="0046151C"/>
    <w:rsid w:val="00461661"/>
    <w:rsid w:val="00461C5A"/>
    <w:rsid w:val="004626AE"/>
    <w:rsid w:val="00462FBB"/>
    <w:rsid w:val="0046454E"/>
    <w:rsid w:val="004656EE"/>
    <w:rsid w:val="00465733"/>
    <w:rsid w:val="00465D66"/>
    <w:rsid w:val="00466205"/>
    <w:rsid w:val="004665E5"/>
    <w:rsid w:val="00466A01"/>
    <w:rsid w:val="004703EC"/>
    <w:rsid w:val="00471642"/>
    <w:rsid w:val="00471B7A"/>
    <w:rsid w:val="0047711A"/>
    <w:rsid w:val="00477C38"/>
    <w:rsid w:val="0048006F"/>
    <w:rsid w:val="004803A2"/>
    <w:rsid w:val="0048204D"/>
    <w:rsid w:val="00483263"/>
    <w:rsid w:val="00487108"/>
    <w:rsid w:val="00487887"/>
    <w:rsid w:val="00487D79"/>
    <w:rsid w:val="00490250"/>
    <w:rsid w:val="004910E9"/>
    <w:rsid w:val="00491AF4"/>
    <w:rsid w:val="0049275B"/>
    <w:rsid w:val="004930C9"/>
    <w:rsid w:val="00493226"/>
    <w:rsid w:val="0049341F"/>
    <w:rsid w:val="00493728"/>
    <w:rsid w:val="00493982"/>
    <w:rsid w:val="00493C58"/>
    <w:rsid w:val="00493E80"/>
    <w:rsid w:val="0049456C"/>
    <w:rsid w:val="0049536B"/>
    <w:rsid w:val="004966D1"/>
    <w:rsid w:val="00496761"/>
    <w:rsid w:val="00496AE8"/>
    <w:rsid w:val="00496B76"/>
    <w:rsid w:val="00496C3B"/>
    <w:rsid w:val="00496CF4"/>
    <w:rsid w:val="004976F3"/>
    <w:rsid w:val="004A0A1F"/>
    <w:rsid w:val="004A1ED9"/>
    <w:rsid w:val="004A2CC9"/>
    <w:rsid w:val="004A503C"/>
    <w:rsid w:val="004A5498"/>
    <w:rsid w:val="004A5A9E"/>
    <w:rsid w:val="004A7A20"/>
    <w:rsid w:val="004B0201"/>
    <w:rsid w:val="004B04A3"/>
    <w:rsid w:val="004B0676"/>
    <w:rsid w:val="004B2004"/>
    <w:rsid w:val="004B20CB"/>
    <w:rsid w:val="004B2597"/>
    <w:rsid w:val="004B2831"/>
    <w:rsid w:val="004B2843"/>
    <w:rsid w:val="004B321C"/>
    <w:rsid w:val="004B40A8"/>
    <w:rsid w:val="004B4F1B"/>
    <w:rsid w:val="004B5E4F"/>
    <w:rsid w:val="004B5E66"/>
    <w:rsid w:val="004B60FF"/>
    <w:rsid w:val="004B68A2"/>
    <w:rsid w:val="004B77E3"/>
    <w:rsid w:val="004C1005"/>
    <w:rsid w:val="004C145A"/>
    <w:rsid w:val="004C26AB"/>
    <w:rsid w:val="004C2E9C"/>
    <w:rsid w:val="004C36AE"/>
    <w:rsid w:val="004C45A0"/>
    <w:rsid w:val="004C46E1"/>
    <w:rsid w:val="004C5861"/>
    <w:rsid w:val="004C5C09"/>
    <w:rsid w:val="004C62C5"/>
    <w:rsid w:val="004C63EE"/>
    <w:rsid w:val="004C6A8B"/>
    <w:rsid w:val="004D01FB"/>
    <w:rsid w:val="004D10DB"/>
    <w:rsid w:val="004D15BB"/>
    <w:rsid w:val="004D1EE6"/>
    <w:rsid w:val="004D26BA"/>
    <w:rsid w:val="004D28B9"/>
    <w:rsid w:val="004D2954"/>
    <w:rsid w:val="004D2F62"/>
    <w:rsid w:val="004D359F"/>
    <w:rsid w:val="004D4CB5"/>
    <w:rsid w:val="004D53A6"/>
    <w:rsid w:val="004D6142"/>
    <w:rsid w:val="004D64CB"/>
    <w:rsid w:val="004D75DA"/>
    <w:rsid w:val="004E076E"/>
    <w:rsid w:val="004E4117"/>
    <w:rsid w:val="004E4358"/>
    <w:rsid w:val="004E4361"/>
    <w:rsid w:val="004E57CA"/>
    <w:rsid w:val="004E5BDC"/>
    <w:rsid w:val="004E6DF7"/>
    <w:rsid w:val="004E72AC"/>
    <w:rsid w:val="004E76E7"/>
    <w:rsid w:val="004E78E8"/>
    <w:rsid w:val="004F1E6B"/>
    <w:rsid w:val="004F3FA5"/>
    <w:rsid w:val="004F5251"/>
    <w:rsid w:val="004F620D"/>
    <w:rsid w:val="004F6473"/>
    <w:rsid w:val="00501BD7"/>
    <w:rsid w:val="005021B0"/>
    <w:rsid w:val="00502C1C"/>
    <w:rsid w:val="00503289"/>
    <w:rsid w:val="0050357E"/>
    <w:rsid w:val="00504BCA"/>
    <w:rsid w:val="00505C67"/>
    <w:rsid w:val="005069EC"/>
    <w:rsid w:val="00506A83"/>
    <w:rsid w:val="00506DC9"/>
    <w:rsid w:val="005078E9"/>
    <w:rsid w:val="0051029C"/>
    <w:rsid w:val="00511378"/>
    <w:rsid w:val="005129C5"/>
    <w:rsid w:val="00512FE9"/>
    <w:rsid w:val="005131F7"/>
    <w:rsid w:val="005133DE"/>
    <w:rsid w:val="00513835"/>
    <w:rsid w:val="00513E80"/>
    <w:rsid w:val="00513F6E"/>
    <w:rsid w:val="0051438C"/>
    <w:rsid w:val="00514C7F"/>
    <w:rsid w:val="00515626"/>
    <w:rsid w:val="005173C8"/>
    <w:rsid w:val="00521828"/>
    <w:rsid w:val="00522594"/>
    <w:rsid w:val="00522BE2"/>
    <w:rsid w:val="00523FDC"/>
    <w:rsid w:val="005253C8"/>
    <w:rsid w:val="00526588"/>
    <w:rsid w:val="005274F3"/>
    <w:rsid w:val="0053079B"/>
    <w:rsid w:val="00530886"/>
    <w:rsid w:val="0053215E"/>
    <w:rsid w:val="00532618"/>
    <w:rsid w:val="0053269C"/>
    <w:rsid w:val="00532C95"/>
    <w:rsid w:val="00532D9C"/>
    <w:rsid w:val="00533389"/>
    <w:rsid w:val="005345C3"/>
    <w:rsid w:val="00534F06"/>
    <w:rsid w:val="005363C8"/>
    <w:rsid w:val="00536B5C"/>
    <w:rsid w:val="005374D3"/>
    <w:rsid w:val="00540341"/>
    <w:rsid w:val="005408D6"/>
    <w:rsid w:val="005409EC"/>
    <w:rsid w:val="00541455"/>
    <w:rsid w:val="00543BCF"/>
    <w:rsid w:val="00544636"/>
    <w:rsid w:val="00545D5F"/>
    <w:rsid w:val="00546F7A"/>
    <w:rsid w:val="00550034"/>
    <w:rsid w:val="0055018C"/>
    <w:rsid w:val="005501CB"/>
    <w:rsid w:val="00551104"/>
    <w:rsid w:val="00552D23"/>
    <w:rsid w:val="00553774"/>
    <w:rsid w:val="00553F5A"/>
    <w:rsid w:val="00553FB3"/>
    <w:rsid w:val="00555797"/>
    <w:rsid w:val="00555AFA"/>
    <w:rsid w:val="005573A0"/>
    <w:rsid w:val="00557A22"/>
    <w:rsid w:val="00557A2B"/>
    <w:rsid w:val="00557E61"/>
    <w:rsid w:val="00561BA5"/>
    <w:rsid w:val="00562048"/>
    <w:rsid w:val="00564FCB"/>
    <w:rsid w:val="00565697"/>
    <w:rsid w:val="00566C02"/>
    <w:rsid w:val="0057083E"/>
    <w:rsid w:val="00570FDA"/>
    <w:rsid w:val="00572E3F"/>
    <w:rsid w:val="0057548A"/>
    <w:rsid w:val="005763B6"/>
    <w:rsid w:val="0057681B"/>
    <w:rsid w:val="00580644"/>
    <w:rsid w:val="00580ED6"/>
    <w:rsid w:val="00584D01"/>
    <w:rsid w:val="00584FEA"/>
    <w:rsid w:val="00585079"/>
    <w:rsid w:val="00585743"/>
    <w:rsid w:val="00587DE3"/>
    <w:rsid w:val="00590621"/>
    <w:rsid w:val="0059080A"/>
    <w:rsid w:val="005913DD"/>
    <w:rsid w:val="0059202E"/>
    <w:rsid w:val="00594E39"/>
    <w:rsid w:val="00594E3A"/>
    <w:rsid w:val="0059566C"/>
    <w:rsid w:val="005973A6"/>
    <w:rsid w:val="00597D1A"/>
    <w:rsid w:val="005A0289"/>
    <w:rsid w:val="005A1069"/>
    <w:rsid w:val="005A2122"/>
    <w:rsid w:val="005A2283"/>
    <w:rsid w:val="005A22CF"/>
    <w:rsid w:val="005A41EA"/>
    <w:rsid w:val="005A45A1"/>
    <w:rsid w:val="005A4BE3"/>
    <w:rsid w:val="005B000C"/>
    <w:rsid w:val="005B08A3"/>
    <w:rsid w:val="005B0B97"/>
    <w:rsid w:val="005B3847"/>
    <w:rsid w:val="005B3EF1"/>
    <w:rsid w:val="005B4F4C"/>
    <w:rsid w:val="005B614A"/>
    <w:rsid w:val="005B648E"/>
    <w:rsid w:val="005B6C81"/>
    <w:rsid w:val="005B7324"/>
    <w:rsid w:val="005B7BC5"/>
    <w:rsid w:val="005C15A0"/>
    <w:rsid w:val="005C3205"/>
    <w:rsid w:val="005C3D5C"/>
    <w:rsid w:val="005C6695"/>
    <w:rsid w:val="005C7937"/>
    <w:rsid w:val="005C799C"/>
    <w:rsid w:val="005D1912"/>
    <w:rsid w:val="005D2136"/>
    <w:rsid w:val="005D35E8"/>
    <w:rsid w:val="005D40A1"/>
    <w:rsid w:val="005D4327"/>
    <w:rsid w:val="005D58B2"/>
    <w:rsid w:val="005D6743"/>
    <w:rsid w:val="005D680C"/>
    <w:rsid w:val="005D76E2"/>
    <w:rsid w:val="005D7823"/>
    <w:rsid w:val="005D791F"/>
    <w:rsid w:val="005D7A5D"/>
    <w:rsid w:val="005E07DE"/>
    <w:rsid w:val="005E2AE9"/>
    <w:rsid w:val="005E32D1"/>
    <w:rsid w:val="005E3949"/>
    <w:rsid w:val="005E4AFC"/>
    <w:rsid w:val="005E5087"/>
    <w:rsid w:val="005E543D"/>
    <w:rsid w:val="005E61E3"/>
    <w:rsid w:val="005F0BCE"/>
    <w:rsid w:val="005F1E9A"/>
    <w:rsid w:val="005F33F5"/>
    <w:rsid w:val="005F34F7"/>
    <w:rsid w:val="005F56A6"/>
    <w:rsid w:val="005F682E"/>
    <w:rsid w:val="005F6DCA"/>
    <w:rsid w:val="005F7310"/>
    <w:rsid w:val="005F7B5E"/>
    <w:rsid w:val="005F7E70"/>
    <w:rsid w:val="00600CBE"/>
    <w:rsid w:val="006012C6"/>
    <w:rsid w:val="00602031"/>
    <w:rsid w:val="00602802"/>
    <w:rsid w:val="00603FDF"/>
    <w:rsid w:val="006042AF"/>
    <w:rsid w:val="0060436E"/>
    <w:rsid w:val="00604922"/>
    <w:rsid w:val="0060538B"/>
    <w:rsid w:val="00605D81"/>
    <w:rsid w:val="00606686"/>
    <w:rsid w:val="0060672A"/>
    <w:rsid w:val="00606C71"/>
    <w:rsid w:val="00607370"/>
    <w:rsid w:val="0060762E"/>
    <w:rsid w:val="00612F9F"/>
    <w:rsid w:val="006138CE"/>
    <w:rsid w:val="00613EFD"/>
    <w:rsid w:val="00617630"/>
    <w:rsid w:val="00620346"/>
    <w:rsid w:val="00620555"/>
    <w:rsid w:val="0062083C"/>
    <w:rsid w:val="006209F4"/>
    <w:rsid w:val="00622670"/>
    <w:rsid w:val="00622F3F"/>
    <w:rsid w:val="00623342"/>
    <w:rsid w:val="00624BB7"/>
    <w:rsid w:val="00624F25"/>
    <w:rsid w:val="006255D0"/>
    <w:rsid w:val="0062638D"/>
    <w:rsid w:val="006267F8"/>
    <w:rsid w:val="00627223"/>
    <w:rsid w:val="006305F6"/>
    <w:rsid w:val="00630E56"/>
    <w:rsid w:val="00631670"/>
    <w:rsid w:val="00631CCD"/>
    <w:rsid w:val="0063251F"/>
    <w:rsid w:val="00633C04"/>
    <w:rsid w:val="0063642D"/>
    <w:rsid w:val="00637CCD"/>
    <w:rsid w:val="0064134B"/>
    <w:rsid w:val="00641B08"/>
    <w:rsid w:val="00643399"/>
    <w:rsid w:val="00644F3A"/>
    <w:rsid w:val="00646793"/>
    <w:rsid w:val="00646CE0"/>
    <w:rsid w:val="006470A9"/>
    <w:rsid w:val="00650B77"/>
    <w:rsid w:val="00650FA2"/>
    <w:rsid w:val="00651BA6"/>
    <w:rsid w:val="00652E1E"/>
    <w:rsid w:val="006548A9"/>
    <w:rsid w:val="00654ABF"/>
    <w:rsid w:val="00655E43"/>
    <w:rsid w:val="00656384"/>
    <w:rsid w:val="0065645E"/>
    <w:rsid w:val="00656E06"/>
    <w:rsid w:val="00657662"/>
    <w:rsid w:val="00657A15"/>
    <w:rsid w:val="0066182F"/>
    <w:rsid w:val="00662F55"/>
    <w:rsid w:val="00663CA0"/>
    <w:rsid w:val="006641C4"/>
    <w:rsid w:val="00664E27"/>
    <w:rsid w:val="0066524A"/>
    <w:rsid w:val="006653D4"/>
    <w:rsid w:val="0066596A"/>
    <w:rsid w:val="00666E6D"/>
    <w:rsid w:val="00667F6E"/>
    <w:rsid w:val="00671778"/>
    <w:rsid w:val="00671904"/>
    <w:rsid w:val="00671BCE"/>
    <w:rsid w:val="00671DBA"/>
    <w:rsid w:val="006722CE"/>
    <w:rsid w:val="0067233E"/>
    <w:rsid w:val="00672898"/>
    <w:rsid w:val="00673F16"/>
    <w:rsid w:val="00675237"/>
    <w:rsid w:val="00675DE7"/>
    <w:rsid w:val="00676281"/>
    <w:rsid w:val="00677B5A"/>
    <w:rsid w:val="00677F9F"/>
    <w:rsid w:val="00680E07"/>
    <w:rsid w:val="006814ED"/>
    <w:rsid w:val="00681AAF"/>
    <w:rsid w:val="006824DB"/>
    <w:rsid w:val="00682C04"/>
    <w:rsid w:val="0068333B"/>
    <w:rsid w:val="006837D2"/>
    <w:rsid w:val="006856AD"/>
    <w:rsid w:val="00690BB8"/>
    <w:rsid w:val="0069122B"/>
    <w:rsid w:val="00692075"/>
    <w:rsid w:val="0069278C"/>
    <w:rsid w:val="00693A87"/>
    <w:rsid w:val="00696B73"/>
    <w:rsid w:val="00697607"/>
    <w:rsid w:val="0069788B"/>
    <w:rsid w:val="006A185C"/>
    <w:rsid w:val="006A4230"/>
    <w:rsid w:val="006A42F6"/>
    <w:rsid w:val="006A6A82"/>
    <w:rsid w:val="006A6E0F"/>
    <w:rsid w:val="006B02F4"/>
    <w:rsid w:val="006B1498"/>
    <w:rsid w:val="006B48F1"/>
    <w:rsid w:val="006B5DD5"/>
    <w:rsid w:val="006B6B36"/>
    <w:rsid w:val="006C1816"/>
    <w:rsid w:val="006C1978"/>
    <w:rsid w:val="006C208D"/>
    <w:rsid w:val="006C2467"/>
    <w:rsid w:val="006C4093"/>
    <w:rsid w:val="006C430D"/>
    <w:rsid w:val="006C4C7D"/>
    <w:rsid w:val="006C54E5"/>
    <w:rsid w:val="006C60A2"/>
    <w:rsid w:val="006C720A"/>
    <w:rsid w:val="006C7454"/>
    <w:rsid w:val="006C76AD"/>
    <w:rsid w:val="006D43B2"/>
    <w:rsid w:val="006D4589"/>
    <w:rsid w:val="006D49F6"/>
    <w:rsid w:val="006D4C4D"/>
    <w:rsid w:val="006D5020"/>
    <w:rsid w:val="006D512F"/>
    <w:rsid w:val="006D52EC"/>
    <w:rsid w:val="006D5A53"/>
    <w:rsid w:val="006D5ACB"/>
    <w:rsid w:val="006D74C8"/>
    <w:rsid w:val="006D7CA8"/>
    <w:rsid w:val="006E04B9"/>
    <w:rsid w:val="006E0D18"/>
    <w:rsid w:val="006E1F28"/>
    <w:rsid w:val="006E2A09"/>
    <w:rsid w:val="006E3E28"/>
    <w:rsid w:val="006E4152"/>
    <w:rsid w:val="006E5253"/>
    <w:rsid w:val="006E6910"/>
    <w:rsid w:val="006E6B9A"/>
    <w:rsid w:val="006E765B"/>
    <w:rsid w:val="006E7CB3"/>
    <w:rsid w:val="006F3D7D"/>
    <w:rsid w:val="006F4C14"/>
    <w:rsid w:val="006F5508"/>
    <w:rsid w:val="006F5C0D"/>
    <w:rsid w:val="006F5CF8"/>
    <w:rsid w:val="006F7C8D"/>
    <w:rsid w:val="0070051E"/>
    <w:rsid w:val="007010B2"/>
    <w:rsid w:val="00701EF9"/>
    <w:rsid w:val="007048C3"/>
    <w:rsid w:val="00710055"/>
    <w:rsid w:val="00710B1B"/>
    <w:rsid w:val="00710D33"/>
    <w:rsid w:val="00712655"/>
    <w:rsid w:val="00712EB8"/>
    <w:rsid w:val="00714BBD"/>
    <w:rsid w:val="00715A9D"/>
    <w:rsid w:val="00717947"/>
    <w:rsid w:val="00720CDA"/>
    <w:rsid w:val="00722BC5"/>
    <w:rsid w:val="007235BF"/>
    <w:rsid w:val="00723A10"/>
    <w:rsid w:val="00723B41"/>
    <w:rsid w:val="00726156"/>
    <w:rsid w:val="00726B1D"/>
    <w:rsid w:val="007308FF"/>
    <w:rsid w:val="00731DBB"/>
    <w:rsid w:val="00732383"/>
    <w:rsid w:val="007327A8"/>
    <w:rsid w:val="00732E84"/>
    <w:rsid w:val="00733BDE"/>
    <w:rsid w:val="00733FF0"/>
    <w:rsid w:val="00734668"/>
    <w:rsid w:val="00734DE0"/>
    <w:rsid w:val="0073534E"/>
    <w:rsid w:val="00736309"/>
    <w:rsid w:val="00737957"/>
    <w:rsid w:val="00737A9B"/>
    <w:rsid w:val="007408EB"/>
    <w:rsid w:val="00742A2C"/>
    <w:rsid w:val="00743A06"/>
    <w:rsid w:val="00743CE2"/>
    <w:rsid w:val="00744883"/>
    <w:rsid w:val="00744A5B"/>
    <w:rsid w:val="00744BD2"/>
    <w:rsid w:val="00745611"/>
    <w:rsid w:val="0074580A"/>
    <w:rsid w:val="00747636"/>
    <w:rsid w:val="007477F6"/>
    <w:rsid w:val="0075003C"/>
    <w:rsid w:val="007502A3"/>
    <w:rsid w:val="007514BF"/>
    <w:rsid w:val="0075176A"/>
    <w:rsid w:val="0075203E"/>
    <w:rsid w:val="007531EA"/>
    <w:rsid w:val="00754C81"/>
    <w:rsid w:val="00755C03"/>
    <w:rsid w:val="00756044"/>
    <w:rsid w:val="007561F9"/>
    <w:rsid w:val="007569F9"/>
    <w:rsid w:val="00757C50"/>
    <w:rsid w:val="00757C59"/>
    <w:rsid w:val="00760049"/>
    <w:rsid w:val="00760131"/>
    <w:rsid w:val="00761734"/>
    <w:rsid w:val="00761E01"/>
    <w:rsid w:val="00762E8A"/>
    <w:rsid w:val="0076369E"/>
    <w:rsid w:val="007641FB"/>
    <w:rsid w:val="00764CBB"/>
    <w:rsid w:val="00765540"/>
    <w:rsid w:val="00765BB9"/>
    <w:rsid w:val="00766562"/>
    <w:rsid w:val="00766778"/>
    <w:rsid w:val="00766C46"/>
    <w:rsid w:val="00766FA3"/>
    <w:rsid w:val="007710FD"/>
    <w:rsid w:val="00771468"/>
    <w:rsid w:val="00771886"/>
    <w:rsid w:val="00771A7B"/>
    <w:rsid w:val="007729DA"/>
    <w:rsid w:val="00772D0C"/>
    <w:rsid w:val="00773E0F"/>
    <w:rsid w:val="00773E97"/>
    <w:rsid w:val="007747DB"/>
    <w:rsid w:val="00781149"/>
    <w:rsid w:val="00783B4C"/>
    <w:rsid w:val="00784191"/>
    <w:rsid w:val="007846AA"/>
    <w:rsid w:val="00784A7D"/>
    <w:rsid w:val="00785487"/>
    <w:rsid w:val="00785D00"/>
    <w:rsid w:val="0078762A"/>
    <w:rsid w:val="007878A3"/>
    <w:rsid w:val="00790BB7"/>
    <w:rsid w:val="007911DF"/>
    <w:rsid w:val="00791A5D"/>
    <w:rsid w:val="00792173"/>
    <w:rsid w:val="00793203"/>
    <w:rsid w:val="00794908"/>
    <w:rsid w:val="00794C9C"/>
    <w:rsid w:val="00794E6B"/>
    <w:rsid w:val="007960C4"/>
    <w:rsid w:val="0079666E"/>
    <w:rsid w:val="0079669E"/>
    <w:rsid w:val="00796A2A"/>
    <w:rsid w:val="007971EC"/>
    <w:rsid w:val="007A081B"/>
    <w:rsid w:val="007A09CA"/>
    <w:rsid w:val="007A0ACA"/>
    <w:rsid w:val="007A0E1F"/>
    <w:rsid w:val="007A2A69"/>
    <w:rsid w:val="007A2D26"/>
    <w:rsid w:val="007A40D2"/>
    <w:rsid w:val="007A412D"/>
    <w:rsid w:val="007A4A6B"/>
    <w:rsid w:val="007A5F53"/>
    <w:rsid w:val="007A615E"/>
    <w:rsid w:val="007A66D8"/>
    <w:rsid w:val="007A6A3F"/>
    <w:rsid w:val="007B059C"/>
    <w:rsid w:val="007B07FC"/>
    <w:rsid w:val="007B16E4"/>
    <w:rsid w:val="007B206B"/>
    <w:rsid w:val="007B347F"/>
    <w:rsid w:val="007B546D"/>
    <w:rsid w:val="007B57C2"/>
    <w:rsid w:val="007B7386"/>
    <w:rsid w:val="007C0AFC"/>
    <w:rsid w:val="007C33E4"/>
    <w:rsid w:val="007C4E10"/>
    <w:rsid w:val="007C562A"/>
    <w:rsid w:val="007C5D86"/>
    <w:rsid w:val="007C6845"/>
    <w:rsid w:val="007C6ADA"/>
    <w:rsid w:val="007C7860"/>
    <w:rsid w:val="007D1028"/>
    <w:rsid w:val="007D3894"/>
    <w:rsid w:val="007D3998"/>
    <w:rsid w:val="007D3DFE"/>
    <w:rsid w:val="007D4319"/>
    <w:rsid w:val="007D6686"/>
    <w:rsid w:val="007D6A11"/>
    <w:rsid w:val="007D6C2B"/>
    <w:rsid w:val="007E048C"/>
    <w:rsid w:val="007E04D4"/>
    <w:rsid w:val="007E267A"/>
    <w:rsid w:val="007E2E6B"/>
    <w:rsid w:val="007E5001"/>
    <w:rsid w:val="007E5A94"/>
    <w:rsid w:val="007E5C1B"/>
    <w:rsid w:val="007E5CF8"/>
    <w:rsid w:val="007E6193"/>
    <w:rsid w:val="007E771D"/>
    <w:rsid w:val="007F143F"/>
    <w:rsid w:val="007F26F0"/>
    <w:rsid w:val="007F37C1"/>
    <w:rsid w:val="007F3EF2"/>
    <w:rsid w:val="007F475E"/>
    <w:rsid w:val="007F538E"/>
    <w:rsid w:val="007F5430"/>
    <w:rsid w:val="007F5F16"/>
    <w:rsid w:val="00800727"/>
    <w:rsid w:val="008008E1"/>
    <w:rsid w:val="008010A5"/>
    <w:rsid w:val="00801948"/>
    <w:rsid w:val="0080202C"/>
    <w:rsid w:val="00802A64"/>
    <w:rsid w:val="008034B9"/>
    <w:rsid w:val="00803F61"/>
    <w:rsid w:val="00804085"/>
    <w:rsid w:val="00804288"/>
    <w:rsid w:val="0080611B"/>
    <w:rsid w:val="008066C2"/>
    <w:rsid w:val="0080681C"/>
    <w:rsid w:val="00807778"/>
    <w:rsid w:val="00807B75"/>
    <w:rsid w:val="00807E8D"/>
    <w:rsid w:val="00810B19"/>
    <w:rsid w:val="00812086"/>
    <w:rsid w:val="00813CD3"/>
    <w:rsid w:val="00814993"/>
    <w:rsid w:val="0081518A"/>
    <w:rsid w:val="00815774"/>
    <w:rsid w:val="008158AA"/>
    <w:rsid w:val="00815E75"/>
    <w:rsid w:val="00816F96"/>
    <w:rsid w:val="00821995"/>
    <w:rsid w:val="00822982"/>
    <w:rsid w:val="008233FB"/>
    <w:rsid w:val="00823E65"/>
    <w:rsid w:val="00823FF0"/>
    <w:rsid w:val="008244E5"/>
    <w:rsid w:val="00824762"/>
    <w:rsid w:val="00824E13"/>
    <w:rsid w:val="00825B6C"/>
    <w:rsid w:val="00827FF1"/>
    <w:rsid w:val="008333AF"/>
    <w:rsid w:val="008339F9"/>
    <w:rsid w:val="008353FD"/>
    <w:rsid w:val="008357F9"/>
    <w:rsid w:val="00836840"/>
    <w:rsid w:val="00836ADA"/>
    <w:rsid w:val="00840537"/>
    <w:rsid w:val="00840AB6"/>
    <w:rsid w:val="00842222"/>
    <w:rsid w:val="00842932"/>
    <w:rsid w:val="008453F4"/>
    <w:rsid w:val="0084569E"/>
    <w:rsid w:val="008459AF"/>
    <w:rsid w:val="008466D0"/>
    <w:rsid w:val="00846CBF"/>
    <w:rsid w:val="00846FAB"/>
    <w:rsid w:val="00852480"/>
    <w:rsid w:val="00852801"/>
    <w:rsid w:val="00853203"/>
    <w:rsid w:val="00853251"/>
    <w:rsid w:val="00855901"/>
    <w:rsid w:val="00856CC3"/>
    <w:rsid w:val="00861E5F"/>
    <w:rsid w:val="00861E6F"/>
    <w:rsid w:val="00867A10"/>
    <w:rsid w:val="00870BF0"/>
    <w:rsid w:val="00870FE7"/>
    <w:rsid w:val="0087112F"/>
    <w:rsid w:val="00871844"/>
    <w:rsid w:val="008720F6"/>
    <w:rsid w:val="0087212D"/>
    <w:rsid w:val="00872250"/>
    <w:rsid w:val="00872C28"/>
    <w:rsid w:val="008732FE"/>
    <w:rsid w:val="0087346B"/>
    <w:rsid w:val="00874050"/>
    <w:rsid w:val="00874C95"/>
    <w:rsid w:val="00876E88"/>
    <w:rsid w:val="00877DDB"/>
    <w:rsid w:val="00880158"/>
    <w:rsid w:val="008806D5"/>
    <w:rsid w:val="00880F31"/>
    <w:rsid w:val="00881A67"/>
    <w:rsid w:val="00882118"/>
    <w:rsid w:val="00882FF6"/>
    <w:rsid w:val="00885F89"/>
    <w:rsid w:val="008864E9"/>
    <w:rsid w:val="00886503"/>
    <w:rsid w:val="00887990"/>
    <w:rsid w:val="00891455"/>
    <w:rsid w:val="00891BFE"/>
    <w:rsid w:val="00893274"/>
    <w:rsid w:val="00893780"/>
    <w:rsid w:val="00893B8E"/>
    <w:rsid w:val="00894FBC"/>
    <w:rsid w:val="00897716"/>
    <w:rsid w:val="00897F2F"/>
    <w:rsid w:val="008A0730"/>
    <w:rsid w:val="008A1ED0"/>
    <w:rsid w:val="008A2594"/>
    <w:rsid w:val="008A2617"/>
    <w:rsid w:val="008A26D3"/>
    <w:rsid w:val="008A34A6"/>
    <w:rsid w:val="008A4509"/>
    <w:rsid w:val="008A4707"/>
    <w:rsid w:val="008A5F17"/>
    <w:rsid w:val="008A6360"/>
    <w:rsid w:val="008A6DED"/>
    <w:rsid w:val="008A7482"/>
    <w:rsid w:val="008B2800"/>
    <w:rsid w:val="008B33CF"/>
    <w:rsid w:val="008B37F0"/>
    <w:rsid w:val="008B3A5F"/>
    <w:rsid w:val="008B5EB2"/>
    <w:rsid w:val="008B7442"/>
    <w:rsid w:val="008B79E9"/>
    <w:rsid w:val="008C0288"/>
    <w:rsid w:val="008C2ADD"/>
    <w:rsid w:val="008C34F5"/>
    <w:rsid w:val="008C38A4"/>
    <w:rsid w:val="008C3F9F"/>
    <w:rsid w:val="008C4C00"/>
    <w:rsid w:val="008C4EB6"/>
    <w:rsid w:val="008C68F8"/>
    <w:rsid w:val="008C725D"/>
    <w:rsid w:val="008C7C9B"/>
    <w:rsid w:val="008D00FD"/>
    <w:rsid w:val="008D1C97"/>
    <w:rsid w:val="008D2554"/>
    <w:rsid w:val="008D4530"/>
    <w:rsid w:val="008D4C37"/>
    <w:rsid w:val="008D59FE"/>
    <w:rsid w:val="008D5B9D"/>
    <w:rsid w:val="008D66F4"/>
    <w:rsid w:val="008D6DCB"/>
    <w:rsid w:val="008E1804"/>
    <w:rsid w:val="008E27D5"/>
    <w:rsid w:val="008E29B3"/>
    <w:rsid w:val="008E33E4"/>
    <w:rsid w:val="008E3ADA"/>
    <w:rsid w:val="008E3F08"/>
    <w:rsid w:val="008E61BD"/>
    <w:rsid w:val="008E7CEC"/>
    <w:rsid w:val="008F0491"/>
    <w:rsid w:val="008F1712"/>
    <w:rsid w:val="008F3BDC"/>
    <w:rsid w:val="008F3E79"/>
    <w:rsid w:val="008F441D"/>
    <w:rsid w:val="008F4D5F"/>
    <w:rsid w:val="008F674A"/>
    <w:rsid w:val="009030A5"/>
    <w:rsid w:val="0090352C"/>
    <w:rsid w:val="00904136"/>
    <w:rsid w:val="0090427E"/>
    <w:rsid w:val="0090431E"/>
    <w:rsid w:val="00904F34"/>
    <w:rsid w:val="0090516B"/>
    <w:rsid w:val="0090613C"/>
    <w:rsid w:val="0090702A"/>
    <w:rsid w:val="00907EFA"/>
    <w:rsid w:val="00910652"/>
    <w:rsid w:val="009111FF"/>
    <w:rsid w:val="009125D5"/>
    <w:rsid w:val="009153FE"/>
    <w:rsid w:val="00915D34"/>
    <w:rsid w:val="00916155"/>
    <w:rsid w:val="00916A11"/>
    <w:rsid w:val="00916C7B"/>
    <w:rsid w:val="00917C3C"/>
    <w:rsid w:val="00921D45"/>
    <w:rsid w:val="009224C3"/>
    <w:rsid w:val="009236D7"/>
    <w:rsid w:val="00923775"/>
    <w:rsid w:val="00924BD6"/>
    <w:rsid w:val="00924DE4"/>
    <w:rsid w:val="00925A19"/>
    <w:rsid w:val="00925B35"/>
    <w:rsid w:val="00925F45"/>
    <w:rsid w:val="00927716"/>
    <w:rsid w:val="009319C1"/>
    <w:rsid w:val="00931C9D"/>
    <w:rsid w:val="00931E8D"/>
    <w:rsid w:val="00932248"/>
    <w:rsid w:val="00932BEF"/>
    <w:rsid w:val="009335D4"/>
    <w:rsid w:val="00934221"/>
    <w:rsid w:val="0093429B"/>
    <w:rsid w:val="00935C2B"/>
    <w:rsid w:val="00936AEF"/>
    <w:rsid w:val="0093734D"/>
    <w:rsid w:val="009402E9"/>
    <w:rsid w:val="009403D3"/>
    <w:rsid w:val="009433CB"/>
    <w:rsid w:val="00943F7B"/>
    <w:rsid w:val="009442EB"/>
    <w:rsid w:val="00944C90"/>
    <w:rsid w:val="0095082C"/>
    <w:rsid w:val="009534BA"/>
    <w:rsid w:val="009551C0"/>
    <w:rsid w:val="009556EA"/>
    <w:rsid w:val="0095573F"/>
    <w:rsid w:val="00956734"/>
    <w:rsid w:val="009571C1"/>
    <w:rsid w:val="00957969"/>
    <w:rsid w:val="00957A9D"/>
    <w:rsid w:val="0096003B"/>
    <w:rsid w:val="009603E8"/>
    <w:rsid w:val="00960B4F"/>
    <w:rsid w:val="00961A30"/>
    <w:rsid w:val="009625EF"/>
    <w:rsid w:val="009628AF"/>
    <w:rsid w:val="00962C01"/>
    <w:rsid w:val="00962DE9"/>
    <w:rsid w:val="009648B7"/>
    <w:rsid w:val="00965B3F"/>
    <w:rsid w:val="009661EE"/>
    <w:rsid w:val="00967416"/>
    <w:rsid w:val="009700DC"/>
    <w:rsid w:val="009713F9"/>
    <w:rsid w:val="00971496"/>
    <w:rsid w:val="00971C28"/>
    <w:rsid w:val="00971DDC"/>
    <w:rsid w:val="0097265A"/>
    <w:rsid w:val="00972F70"/>
    <w:rsid w:val="00973008"/>
    <w:rsid w:val="009730F7"/>
    <w:rsid w:val="00973382"/>
    <w:rsid w:val="00974155"/>
    <w:rsid w:val="009745AB"/>
    <w:rsid w:val="009816DB"/>
    <w:rsid w:val="0098173C"/>
    <w:rsid w:val="00983B5D"/>
    <w:rsid w:val="009854F3"/>
    <w:rsid w:val="00986879"/>
    <w:rsid w:val="009871A7"/>
    <w:rsid w:val="00990862"/>
    <w:rsid w:val="00991070"/>
    <w:rsid w:val="00991963"/>
    <w:rsid w:val="00991D7D"/>
    <w:rsid w:val="0099216E"/>
    <w:rsid w:val="00992DCD"/>
    <w:rsid w:val="0099534C"/>
    <w:rsid w:val="00995F99"/>
    <w:rsid w:val="00996278"/>
    <w:rsid w:val="009969F9"/>
    <w:rsid w:val="009A2B8D"/>
    <w:rsid w:val="009A34FC"/>
    <w:rsid w:val="009A6162"/>
    <w:rsid w:val="009A6487"/>
    <w:rsid w:val="009B10DB"/>
    <w:rsid w:val="009B147D"/>
    <w:rsid w:val="009B2AA7"/>
    <w:rsid w:val="009B39ED"/>
    <w:rsid w:val="009B4A2D"/>
    <w:rsid w:val="009B5573"/>
    <w:rsid w:val="009B5971"/>
    <w:rsid w:val="009B5E0A"/>
    <w:rsid w:val="009B7D05"/>
    <w:rsid w:val="009C1507"/>
    <w:rsid w:val="009C1CA4"/>
    <w:rsid w:val="009C2155"/>
    <w:rsid w:val="009C365D"/>
    <w:rsid w:val="009C5F69"/>
    <w:rsid w:val="009C69EE"/>
    <w:rsid w:val="009C7C5F"/>
    <w:rsid w:val="009D03F9"/>
    <w:rsid w:val="009D1A30"/>
    <w:rsid w:val="009D2D92"/>
    <w:rsid w:val="009D4E27"/>
    <w:rsid w:val="009D775E"/>
    <w:rsid w:val="009D7EE2"/>
    <w:rsid w:val="009E0835"/>
    <w:rsid w:val="009E0C6D"/>
    <w:rsid w:val="009E0F7E"/>
    <w:rsid w:val="009E14C7"/>
    <w:rsid w:val="009E1685"/>
    <w:rsid w:val="009E27A5"/>
    <w:rsid w:val="009E28F8"/>
    <w:rsid w:val="009E2BBA"/>
    <w:rsid w:val="009E2DD1"/>
    <w:rsid w:val="009E44A7"/>
    <w:rsid w:val="009E4A70"/>
    <w:rsid w:val="009E555F"/>
    <w:rsid w:val="009E59E0"/>
    <w:rsid w:val="009E7383"/>
    <w:rsid w:val="009E748B"/>
    <w:rsid w:val="009E7EDD"/>
    <w:rsid w:val="009F0F38"/>
    <w:rsid w:val="009F13C6"/>
    <w:rsid w:val="009F17BD"/>
    <w:rsid w:val="009F227C"/>
    <w:rsid w:val="009F35E1"/>
    <w:rsid w:val="009F3BC6"/>
    <w:rsid w:val="009F4B0D"/>
    <w:rsid w:val="009F5202"/>
    <w:rsid w:val="009F5494"/>
    <w:rsid w:val="009F66F4"/>
    <w:rsid w:val="009F6F2F"/>
    <w:rsid w:val="009F7024"/>
    <w:rsid w:val="00A01192"/>
    <w:rsid w:val="00A03557"/>
    <w:rsid w:val="00A0363B"/>
    <w:rsid w:val="00A044DF"/>
    <w:rsid w:val="00A07D64"/>
    <w:rsid w:val="00A10A5A"/>
    <w:rsid w:val="00A11C46"/>
    <w:rsid w:val="00A14D2B"/>
    <w:rsid w:val="00A16D4F"/>
    <w:rsid w:val="00A20B32"/>
    <w:rsid w:val="00A21CD8"/>
    <w:rsid w:val="00A22250"/>
    <w:rsid w:val="00A22F3F"/>
    <w:rsid w:val="00A23668"/>
    <w:rsid w:val="00A237B2"/>
    <w:rsid w:val="00A249FF"/>
    <w:rsid w:val="00A24CCA"/>
    <w:rsid w:val="00A24F87"/>
    <w:rsid w:val="00A25CF2"/>
    <w:rsid w:val="00A260AF"/>
    <w:rsid w:val="00A265FF"/>
    <w:rsid w:val="00A26898"/>
    <w:rsid w:val="00A27911"/>
    <w:rsid w:val="00A279D4"/>
    <w:rsid w:val="00A27B2A"/>
    <w:rsid w:val="00A301FF"/>
    <w:rsid w:val="00A30ED9"/>
    <w:rsid w:val="00A31718"/>
    <w:rsid w:val="00A32E0B"/>
    <w:rsid w:val="00A34767"/>
    <w:rsid w:val="00A3765A"/>
    <w:rsid w:val="00A37979"/>
    <w:rsid w:val="00A379EC"/>
    <w:rsid w:val="00A40A5E"/>
    <w:rsid w:val="00A40F03"/>
    <w:rsid w:val="00A41176"/>
    <w:rsid w:val="00A411EE"/>
    <w:rsid w:val="00A41775"/>
    <w:rsid w:val="00A4219D"/>
    <w:rsid w:val="00A428A9"/>
    <w:rsid w:val="00A42AE6"/>
    <w:rsid w:val="00A4346D"/>
    <w:rsid w:val="00A46E9F"/>
    <w:rsid w:val="00A472DC"/>
    <w:rsid w:val="00A515D6"/>
    <w:rsid w:val="00A52561"/>
    <w:rsid w:val="00A52FC5"/>
    <w:rsid w:val="00A53ED9"/>
    <w:rsid w:val="00A53FC5"/>
    <w:rsid w:val="00A540F3"/>
    <w:rsid w:val="00A54F01"/>
    <w:rsid w:val="00A5562E"/>
    <w:rsid w:val="00A55B7A"/>
    <w:rsid w:val="00A55E18"/>
    <w:rsid w:val="00A55F27"/>
    <w:rsid w:val="00A569A4"/>
    <w:rsid w:val="00A57168"/>
    <w:rsid w:val="00A573B8"/>
    <w:rsid w:val="00A62B1A"/>
    <w:rsid w:val="00A635F3"/>
    <w:rsid w:val="00A64432"/>
    <w:rsid w:val="00A71823"/>
    <w:rsid w:val="00A71BD4"/>
    <w:rsid w:val="00A72B9C"/>
    <w:rsid w:val="00A7384F"/>
    <w:rsid w:val="00A73FF6"/>
    <w:rsid w:val="00A7478A"/>
    <w:rsid w:val="00A75064"/>
    <w:rsid w:val="00A751C5"/>
    <w:rsid w:val="00A76243"/>
    <w:rsid w:val="00A762D5"/>
    <w:rsid w:val="00A76C96"/>
    <w:rsid w:val="00A76ECC"/>
    <w:rsid w:val="00A770FC"/>
    <w:rsid w:val="00A773F5"/>
    <w:rsid w:val="00A80128"/>
    <w:rsid w:val="00A805A8"/>
    <w:rsid w:val="00A807B6"/>
    <w:rsid w:val="00A80946"/>
    <w:rsid w:val="00A80B01"/>
    <w:rsid w:val="00A80C32"/>
    <w:rsid w:val="00A81983"/>
    <w:rsid w:val="00A85636"/>
    <w:rsid w:val="00A86CD3"/>
    <w:rsid w:val="00A92582"/>
    <w:rsid w:val="00A933A2"/>
    <w:rsid w:val="00A934CA"/>
    <w:rsid w:val="00A93646"/>
    <w:rsid w:val="00A94138"/>
    <w:rsid w:val="00A943D1"/>
    <w:rsid w:val="00A945E2"/>
    <w:rsid w:val="00A95088"/>
    <w:rsid w:val="00A95E61"/>
    <w:rsid w:val="00A9638F"/>
    <w:rsid w:val="00A96D24"/>
    <w:rsid w:val="00A97CC1"/>
    <w:rsid w:val="00AA0056"/>
    <w:rsid w:val="00AA1064"/>
    <w:rsid w:val="00AA2D50"/>
    <w:rsid w:val="00AA3CA4"/>
    <w:rsid w:val="00AA55C8"/>
    <w:rsid w:val="00AA5724"/>
    <w:rsid w:val="00AA66E7"/>
    <w:rsid w:val="00AA6FA7"/>
    <w:rsid w:val="00AB024B"/>
    <w:rsid w:val="00AB1474"/>
    <w:rsid w:val="00AB15E8"/>
    <w:rsid w:val="00AB1FBD"/>
    <w:rsid w:val="00AB2218"/>
    <w:rsid w:val="00AB4EFA"/>
    <w:rsid w:val="00AB7DF7"/>
    <w:rsid w:val="00AC07D9"/>
    <w:rsid w:val="00AC2945"/>
    <w:rsid w:val="00AC2BD8"/>
    <w:rsid w:val="00AC38E8"/>
    <w:rsid w:val="00AC3C29"/>
    <w:rsid w:val="00AC4060"/>
    <w:rsid w:val="00AC4276"/>
    <w:rsid w:val="00AC47E8"/>
    <w:rsid w:val="00AC4937"/>
    <w:rsid w:val="00AC4AAA"/>
    <w:rsid w:val="00AC5A41"/>
    <w:rsid w:val="00AC5BB1"/>
    <w:rsid w:val="00AC5C14"/>
    <w:rsid w:val="00AC700E"/>
    <w:rsid w:val="00AC7216"/>
    <w:rsid w:val="00AD00AD"/>
    <w:rsid w:val="00AD08B6"/>
    <w:rsid w:val="00AD0C4F"/>
    <w:rsid w:val="00AD1AE9"/>
    <w:rsid w:val="00AD2835"/>
    <w:rsid w:val="00AD2D4F"/>
    <w:rsid w:val="00AD2D98"/>
    <w:rsid w:val="00AD36F8"/>
    <w:rsid w:val="00AD4BF0"/>
    <w:rsid w:val="00AD54E8"/>
    <w:rsid w:val="00AD5868"/>
    <w:rsid w:val="00AD5E2B"/>
    <w:rsid w:val="00AD5EB6"/>
    <w:rsid w:val="00AD6B0F"/>
    <w:rsid w:val="00AD758B"/>
    <w:rsid w:val="00AE052F"/>
    <w:rsid w:val="00AE1414"/>
    <w:rsid w:val="00AE26C5"/>
    <w:rsid w:val="00AE3567"/>
    <w:rsid w:val="00AE3E31"/>
    <w:rsid w:val="00AE46C4"/>
    <w:rsid w:val="00AE4706"/>
    <w:rsid w:val="00AE47E5"/>
    <w:rsid w:val="00AE6AE8"/>
    <w:rsid w:val="00AE70C1"/>
    <w:rsid w:val="00AE71E6"/>
    <w:rsid w:val="00AE7443"/>
    <w:rsid w:val="00AE775A"/>
    <w:rsid w:val="00AE7A44"/>
    <w:rsid w:val="00AE7C57"/>
    <w:rsid w:val="00AF1A64"/>
    <w:rsid w:val="00AF1D4C"/>
    <w:rsid w:val="00AF3B2C"/>
    <w:rsid w:val="00AF433F"/>
    <w:rsid w:val="00AF4A7C"/>
    <w:rsid w:val="00AF4CF2"/>
    <w:rsid w:val="00AF5E83"/>
    <w:rsid w:val="00B00D09"/>
    <w:rsid w:val="00B00E4B"/>
    <w:rsid w:val="00B01476"/>
    <w:rsid w:val="00B019A7"/>
    <w:rsid w:val="00B03330"/>
    <w:rsid w:val="00B03B2F"/>
    <w:rsid w:val="00B03BCC"/>
    <w:rsid w:val="00B07901"/>
    <w:rsid w:val="00B07ADB"/>
    <w:rsid w:val="00B1013F"/>
    <w:rsid w:val="00B1029B"/>
    <w:rsid w:val="00B107DB"/>
    <w:rsid w:val="00B12666"/>
    <w:rsid w:val="00B139DE"/>
    <w:rsid w:val="00B14297"/>
    <w:rsid w:val="00B14E9A"/>
    <w:rsid w:val="00B14FCA"/>
    <w:rsid w:val="00B1780D"/>
    <w:rsid w:val="00B17E57"/>
    <w:rsid w:val="00B2054F"/>
    <w:rsid w:val="00B208D6"/>
    <w:rsid w:val="00B20E98"/>
    <w:rsid w:val="00B215FB"/>
    <w:rsid w:val="00B22638"/>
    <w:rsid w:val="00B22699"/>
    <w:rsid w:val="00B2348F"/>
    <w:rsid w:val="00B23EBC"/>
    <w:rsid w:val="00B243F4"/>
    <w:rsid w:val="00B246ED"/>
    <w:rsid w:val="00B24CFC"/>
    <w:rsid w:val="00B25004"/>
    <w:rsid w:val="00B260D9"/>
    <w:rsid w:val="00B26DD1"/>
    <w:rsid w:val="00B31627"/>
    <w:rsid w:val="00B316C6"/>
    <w:rsid w:val="00B32505"/>
    <w:rsid w:val="00B32C30"/>
    <w:rsid w:val="00B345C4"/>
    <w:rsid w:val="00B35602"/>
    <w:rsid w:val="00B35FCD"/>
    <w:rsid w:val="00B37427"/>
    <w:rsid w:val="00B37699"/>
    <w:rsid w:val="00B4024E"/>
    <w:rsid w:val="00B4329C"/>
    <w:rsid w:val="00B43DB4"/>
    <w:rsid w:val="00B44EDA"/>
    <w:rsid w:val="00B4519D"/>
    <w:rsid w:val="00B45BCD"/>
    <w:rsid w:val="00B45F93"/>
    <w:rsid w:val="00B46077"/>
    <w:rsid w:val="00B46B7D"/>
    <w:rsid w:val="00B4719E"/>
    <w:rsid w:val="00B47298"/>
    <w:rsid w:val="00B478B4"/>
    <w:rsid w:val="00B47DDC"/>
    <w:rsid w:val="00B503E8"/>
    <w:rsid w:val="00B51EC1"/>
    <w:rsid w:val="00B54462"/>
    <w:rsid w:val="00B54A1F"/>
    <w:rsid w:val="00B55FA9"/>
    <w:rsid w:val="00B56B1F"/>
    <w:rsid w:val="00B578C5"/>
    <w:rsid w:val="00B60DCF"/>
    <w:rsid w:val="00B61232"/>
    <w:rsid w:val="00B61B3A"/>
    <w:rsid w:val="00B62AFA"/>
    <w:rsid w:val="00B63AB4"/>
    <w:rsid w:val="00B63B94"/>
    <w:rsid w:val="00B63CBA"/>
    <w:rsid w:val="00B651BA"/>
    <w:rsid w:val="00B6735A"/>
    <w:rsid w:val="00B70351"/>
    <w:rsid w:val="00B727E5"/>
    <w:rsid w:val="00B72A76"/>
    <w:rsid w:val="00B72D05"/>
    <w:rsid w:val="00B72F50"/>
    <w:rsid w:val="00B73E13"/>
    <w:rsid w:val="00B76024"/>
    <w:rsid w:val="00B816F5"/>
    <w:rsid w:val="00B82E9A"/>
    <w:rsid w:val="00B83296"/>
    <w:rsid w:val="00B83DB3"/>
    <w:rsid w:val="00B83E85"/>
    <w:rsid w:val="00B83FCC"/>
    <w:rsid w:val="00B845B6"/>
    <w:rsid w:val="00B846EC"/>
    <w:rsid w:val="00B85FA4"/>
    <w:rsid w:val="00B8629A"/>
    <w:rsid w:val="00B86BDA"/>
    <w:rsid w:val="00B87244"/>
    <w:rsid w:val="00B87640"/>
    <w:rsid w:val="00B87918"/>
    <w:rsid w:val="00B92D25"/>
    <w:rsid w:val="00B93D09"/>
    <w:rsid w:val="00B93D32"/>
    <w:rsid w:val="00B93EED"/>
    <w:rsid w:val="00B943CF"/>
    <w:rsid w:val="00B960E1"/>
    <w:rsid w:val="00B97ABF"/>
    <w:rsid w:val="00BA0DE1"/>
    <w:rsid w:val="00BA1C72"/>
    <w:rsid w:val="00BA3ADF"/>
    <w:rsid w:val="00BA48BD"/>
    <w:rsid w:val="00BA49D4"/>
    <w:rsid w:val="00BA4CFA"/>
    <w:rsid w:val="00BA4E72"/>
    <w:rsid w:val="00BA7778"/>
    <w:rsid w:val="00BB1BB1"/>
    <w:rsid w:val="00BB526B"/>
    <w:rsid w:val="00BB55BC"/>
    <w:rsid w:val="00BB6344"/>
    <w:rsid w:val="00BC0A7C"/>
    <w:rsid w:val="00BC0F95"/>
    <w:rsid w:val="00BC2EC5"/>
    <w:rsid w:val="00BC3041"/>
    <w:rsid w:val="00BC3318"/>
    <w:rsid w:val="00BC3822"/>
    <w:rsid w:val="00BC38B1"/>
    <w:rsid w:val="00BC62EF"/>
    <w:rsid w:val="00BC72B5"/>
    <w:rsid w:val="00BC7528"/>
    <w:rsid w:val="00BC7924"/>
    <w:rsid w:val="00BD0426"/>
    <w:rsid w:val="00BD1759"/>
    <w:rsid w:val="00BD1F36"/>
    <w:rsid w:val="00BD246B"/>
    <w:rsid w:val="00BD2717"/>
    <w:rsid w:val="00BD285A"/>
    <w:rsid w:val="00BD41FB"/>
    <w:rsid w:val="00BD4AC8"/>
    <w:rsid w:val="00BD4DA0"/>
    <w:rsid w:val="00BD6F4F"/>
    <w:rsid w:val="00BE190C"/>
    <w:rsid w:val="00BE28C2"/>
    <w:rsid w:val="00BE2E7D"/>
    <w:rsid w:val="00BE54E0"/>
    <w:rsid w:val="00BF04D7"/>
    <w:rsid w:val="00BF3067"/>
    <w:rsid w:val="00BF3F8F"/>
    <w:rsid w:val="00BF4299"/>
    <w:rsid w:val="00BF44D9"/>
    <w:rsid w:val="00BF4E61"/>
    <w:rsid w:val="00BF5ACB"/>
    <w:rsid w:val="00BF6008"/>
    <w:rsid w:val="00BF60B3"/>
    <w:rsid w:val="00BF709A"/>
    <w:rsid w:val="00BF76A3"/>
    <w:rsid w:val="00BF79AA"/>
    <w:rsid w:val="00C00C18"/>
    <w:rsid w:val="00C0123D"/>
    <w:rsid w:val="00C01DBB"/>
    <w:rsid w:val="00C02890"/>
    <w:rsid w:val="00C02F16"/>
    <w:rsid w:val="00C02F96"/>
    <w:rsid w:val="00C04159"/>
    <w:rsid w:val="00C05E6E"/>
    <w:rsid w:val="00C05EDD"/>
    <w:rsid w:val="00C0603D"/>
    <w:rsid w:val="00C062F6"/>
    <w:rsid w:val="00C115D4"/>
    <w:rsid w:val="00C11BE8"/>
    <w:rsid w:val="00C157CF"/>
    <w:rsid w:val="00C15BF7"/>
    <w:rsid w:val="00C16071"/>
    <w:rsid w:val="00C16D62"/>
    <w:rsid w:val="00C16DA1"/>
    <w:rsid w:val="00C17772"/>
    <w:rsid w:val="00C21C55"/>
    <w:rsid w:val="00C231C0"/>
    <w:rsid w:val="00C24793"/>
    <w:rsid w:val="00C24819"/>
    <w:rsid w:val="00C24A06"/>
    <w:rsid w:val="00C27425"/>
    <w:rsid w:val="00C30640"/>
    <w:rsid w:val="00C3079E"/>
    <w:rsid w:val="00C330EA"/>
    <w:rsid w:val="00C33CBA"/>
    <w:rsid w:val="00C3440C"/>
    <w:rsid w:val="00C34664"/>
    <w:rsid w:val="00C346D3"/>
    <w:rsid w:val="00C412E9"/>
    <w:rsid w:val="00C4171B"/>
    <w:rsid w:val="00C41AAF"/>
    <w:rsid w:val="00C42297"/>
    <w:rsid w:val="00C445A1"/>
    <w:rsid w:val="00C44689"/>
    <w:rsid w:val="00C44AE1"/>
    <w:rsid w:val="00C454D7"/>
    <w:rsid w:val="00C47ABD"/>
    <w:rsid w:val="00C50168"/>
    <w:rsid w:val="00C501D5"/>
    <w:rsid w:val="00C50A16"/>
    <w:rsid w:val="00C513F4"/>
    <w:rsid w:val="00C516B7"/>
    <w:rsid w:val="00C52E84"/>
    <w:rsid w:val="00C53622"/>
    <w:rsid w:val="00C54982"/>
    <w:rsid w:val="00C573D9"/>
    <w:rsid w:val="00C61DBC"/>
    <w:rsid w:val="00C6276A"/>
    <w:rsid w:val="00C63E2D"/>
    <w:rsid w:val="00C65F20"/>
    <w:rsid w:val="00C667BC"/>
    <w:rsid w:val="00C66B5A"/>
    <w:rsid w:val="00C67B0C"/>
    <w:rsid w:val="00C71126"/>
    <w:rsid w:val="00C71645"/>
    <w:rsid w:val="00C7262F"/>
    <w:rsid w:val="00C7277F"/>
    <w:rsid w:val="00C73101"/>
    <w:rsid w:val="00C74940"/>
    <w:rsid w:val="00C7592C"/>
    <w:rsid w:val="00C76F0D"/>
    <w:rsid w:val="00C805E1"/>
    <w:rsid w:val="00C81BB1"/>
    <w:rsid w:val="00C83B45"/>
    <w:rsid w:val="00C8562D"/>
    <w:rsid w:val="00C86B00"/>
    <w:rsid w:val="00C86B68"/>
    <w:rsid w:val="00C87358"/>
    <w:rsid w:val="00C9036D"/>
    <w:rsid w:val="00C93201"/>
    <w:rsid w:val="00C93EDD"/>
    <w:rsid w:val="00C945D2"/>
    <w:rsid w:val="00C946D6"/>
    <w:rsid w:val="00C953EF"/>
    <w:rsid w:val="00C970AA"/>
    <w:rsid w:val="00C97311"/>
    <w:rsid w:val="00CA04E0"/>
    <w:rsid w:val="00CA24E0"/>
    <w:rsid w:val="00CA32E5"/>
    <w:rsid w:val="00CA5965"/>
    <w:rsid w:val="00CA607B"/>
    <w:rsid w:val="00CA6AE8"/>
    <w:rsid w:val="00CA6F56"/>
    <w:rsid w:val="00CA6FE6"/>
    <w:rsid w:val="00CA7B1E"/>
    <w:rsid w:val="00CB0748"/>
    <w:rsid w:val="00CB09D1"/>
    <w:rsid w:val="00CB0F57"/>
    <w:rsid w:val="00CB29F7"/>
    <w:rsid w:val="00CB3DE9"/>
    <w:rsid w:val="00CB619B"/>
    <w:rsid w:val="00CB79C6"/>
    <w:rsid w:val="00CC0088"/>
    <w:rsid w:val="00CC13F5"/>
    <w:rsid w:val="00CC39FD"/>
    <w:rsid w:val="00CC443A"/>
    <w:rsid w:val="00CC4742"/>
    <w:rsid w:val="00CC4EBA"/>
    <w:rsid w:val="00CC69D4"/>
    <w:rsid w:val="00CC77D7"/>
    <w:rsid w:val="00CD1386"/>
    <w:rsid w:val="00CD268E"/>
    <w:rsid w:val="00CD3FBE"/>
    <w:rsid w:val="00CD46C2"/>
    <w:rsid w:val="00CD478F"/>
    <w:rsid w:val="00CD4E84"/>
    <w:rsid w:val="00CD6E7D"/>
    <w:rsid w:val="00CD70C5"/>
    <w:rsid w:val="00CD7753"/>
    <w:rsid w:val="00CE0176"/>
    <w:rsid w:val="00CE0A98"/>
    <w:rsid w:val="00CE0FCE"/>
    <w:rsid w:val="00CE1B6E"/>
    <w:rsid w:val="00CE2E0B"/>
    <w:rsid w:val="00CE395F"/>
    <w:rsid w:val="00CE4DE5"/>
    <w:rsid w:val="00CE5E30"/>
    <w:rsid w:val="00CE7205"/>
    <w:rsid w:val="00CF24A0"/>
    <w:rsid w:val="00CF2CD0"/>
    <w:rsid w:val="00CF2EF5"/>
    <w:rsid w:val="00CF356A"/>
    <w:rsid w:val="00CF3AF5"/>
    <w:rsid w:val="00CF4251"/>
    <w:rsid w:val="00CF527B"/>
    <w:rsid w:val="00CF7101"/>
    <w:rsid w:val="00D0007D"/>
    <w:rsid w:val="00D00234"/>
    <w:rsid w:val="00D00943"/>
    <w:rsid w:val="00D00BD8"/>
    <w:rsid w:val="00D027C5"/>
    <w:rsid w:val="00D02F5A"/>
    <w:rsid w:val="00D0360C"/>
    <w:rsid w:val="00D04A4B"/>
    <w:rsid w:val="00D04B88"/>
    <w:rsid w:val="00D059F0"/>
    <w:rsid w:val="00D077A8"/>
    <w:rsid w:val="00D1022B"/>
    <w:rsid w:val="00D116D2"/>
    <w:rsid w:val="00D11E83"/>
    <w:rsid w:val="00D12160"/>
    <w:rsid w:val="00D138D2"/>
    <w:rsid w:val="00D13B66"/>
    <w:rsid w:val="00D14B6E"/>
    <w:rsid w:val="00D15BE3"/>
    <w:rsid w:val="00D15C08"/>
    <w:rsid w:val="00D15E25"/>
    <w:rsid w:val="00D163B8"/>
    <w:rsid w:val="00D178D1"/>
    <w:rsid w:val="00D22B56"/>
    <w:rsid w:val="00D25CA2"/>
    <w:rsid w:val="00D25DE8"/>
    <w:rsid w:val="00D26398"/>
    <w:rsid w:val="00D273EF"/>
    <w:rsid w:val="00D2780E"/>
    <w:rsid w:val="00D27948"/>
    <w:rsid w:val="00D27B25"/>
    <w:rsid w:val="00D31229"/>
    <w:rsid w:val="00D318CF"/>
    <w:rsid w:val="00D32A1B"/>
    <w:rsid w:val="00D3302E"/>
    <w:rsid w:val="00D3407B"/>
    <w:rsid w:val="00D37B0D"/>
    <w:rsid w:val="00D429E9"/>
    <w:rsid w:val="00D431D8"/>
    <w:rsid w:val="00D45706"/>
    <w:rsid w:val="00D462B9"/>
    <w:rsid w:val="00D4635F"/>
    <w:rsid w:val="00D51AB5"/>
    <w:rsid w:val="00D525D9"/>
    <w:rsid w:val="00D52DD6"/>
    <w:rsid w:val="00D5308D"/>
    <w:rsid w:val="00D53781"/>
    <w:rsid w:val="00D53D01"/>
    <w:rsid w:val="00D540B4"/>
    <w:rsid w:val="00D5495F"/>
    <w:rsid w:val="00D55B59"/>
    <w:rsid w:val="00D5638B"/>
    <w:rsid w:val="00D56DBA"/>
    <w:rsid w:val="00D6017D"/>
    <w:rsid w:val="00D60342"/>
    <w:rsid w:val="00D60817"/>
    <w:rsid w:val="00D60E3B"/>
    <w:rsid w:val="00D61F54"/>
    <w:rsid w:val="00D62003"/>
    <w:rsid w:val="00D6263A"/>
    <w:rsid w:val="00D62692"/>
    <w:rsid w:val="00D628D3"/>
    <w:rsid w:val="00D63D50"/>
    <w:rsid w:val="00D66AC6"/>
    <w:rsid w:val="00D66BD1"/>
    <w:rsid w:val="00D673E0"/>
    <w:rsid w:val="00D67BB8"/>
    <w:rsid w:val="00D70674"/>
    <w:rsid w:val="00D718E5"/>
    <w:rsid w:val="00D71F79"/>
    <w:rsid w:val="00D72813"/>
    <w:rsid w:val="00D72F23"/>
    <w:rsid w:val="00D743AA"/>
    <w:rsid w:val="00D74E55"/>
    <w:rsid w:val="00D7601F"/>
    <w:rsid w:val="00D76E1B"/>
    <w:rsid w:val="00D77A65"/>
    <w:rsid w:val="00D77C45"/>
    <w:rsid w:val="00D80386"/>
    <w:rsid w:val="00D8248D"/>
    <w:rsid w:val="00D82A53"/>
    <w:rsid w:val="00D83034"/>
    <w:rsid w:val="00D84C6F"/>
    <w:rsid w:val="00D84EDE"/>
    <w:rsid w:val="00D85273"/>
    <w:rsid w:val="00D86100"/>
    <w:rsid w:val="00D876F7"/>
    <w:rsid w:val="00D87CE8"/>
    <w:rsid w:val="00D9058B"/>
    <w:rsid w:val="00D9131C"/>
    <w:rsid w:val="00D91458"/>
    <w:rsid w:val="00D92870"/>
    <w:rsid w:val="00D92EE3"/>
    <w:rsid w:val="00D93142"/>
    <w:rsid w:val="00D93AB8"/>
    <w:rsid w:val="00D93AC6"/>
    <w:rsid w:val="00D93B0C"/>
    <w:rsid w:val="00D93D43"/>
    <w:rsid w:val="00D957BE"/>
    <w:rsid w:val="00D96612"/>
    <w:rsid w:val="00D967EF"/>
    <w:rsid w:val="00D9685D"/>
    <w:rsid w:val="00D96FEA"/>
    <w:rsid w:val="00D9784A"/>
    <w:rsid w:val="00DA0D81"/>
    <w:rsid w:val="00DA12AB"/>
    <w:rsid w:val="00DA1704"/>
    <w:rsid w:val="00DA19C6"/>
    <w:rsid w:val="00DA347E"/>
    <w:rsid w:val="00DA4ACD"/>
    <w:rsid w:val="00DA4C26"/>
    <w:rsid w:val="00DA4D96"/>
    <w:rsid w:val="00DA5555"/>
    <w:rsid w:val="00DA5597"/>
    <w:rsid w:val="00DA7259"/>
    <w:rsid w:val="00DA7822"/>
    <w:rsid w:val="00DB1923"/>
    <w:rsid w:val="00DB1FDE"/>
    <w:rsid w:val="00DB2664"/>
    <w:rsid w:val="00DB3A41"/>
    <w:rsid w:val="00DB4879"/>
    <w:rsid w:val="00DB5B00"/>
    <w:rsid w:val="00DB631E"/>
    <w:rsid w:val="00DB6399"/>
    <w:rsid w:val="00DC03C0"/>
    <w:rsid w:val="00DC13B0"/>
    <w:rsid w:val="00DC2182"/>
    <w:rsid w:val="00DC254A"/>
    <w:rsid w:val="00DC3902"/>
    <w:rsid w:val="00DC4081"/>
    <w:rsid w:val="00DC470E"/>
    <w:rsid w:val="00DC4F39"/>
    <w:rsid w:val="00DC4F46"/>
    <w:rsid w:val="00DC6ABD"/>
    <w:rsid w:val="00DC6E6D"/>
    <w:rsid w:val="00DC77E6"/>
    <w:rsid w:val="00DD0719"/>
    <w:rsid w:val="00DD0FC6"/>
    <w:rsid w:val="00DD1010"/>
    <w:rsid w:val="00DD280E"/>
    <w:rsid w:val="00DD34F8"/>
    <w:rsid w:val="00DD4C58"/>
    <w:rsid w:val="00DD52DD"/>
    <w:rsid w:val="00DD5A4C"/>
    <w:rsid w:val="00DD646B"/>
    <w:rsid w:val="00DD69E4"/>
    <w:rsid w:val="00DD71A4"/>
    <w:rsid w:val="00DD785D"/>
    <w:rsid w:val="00DE0E7D"/>
    <w:rsid w:val="00DE1553"/>
    <w:rsid w:val="00DE1BF5"/>
    <w:rsid w:val="00DE1E87"/>
    <w:rsid w:val="00DE31A3"/>
    <w:rsid w:val="00DE358C"/>
    <w:rsid w:val="00DE4503"/>
    <w:rsid w:val="00DE45E8"/>
    <w:rsid w:val="00DE665E"/>
    <w:rsid w:val="00DE6865"/>
    <w:rsid w:val="00DE785B"/>
    <w:rsid w:val="00DF0598"/>
    <w:rsid w:val="00DF1304"/>
    <w:rsid w:val="00DF19E2"/>
    <w:rsid w:val="00DF1A92"/>
    <w:rsid w:val="00DF219B"/>
    <w:rsid w:val="00DF2599"/>
    <w:rsid w:val="00DF25FD"/>
    <w:rsid w:val="00DF358D"/>
    <w:rsid w:val="00DF65B2"/>
    <w:rsid w:val="00DF7770"/>
    <w:rsid w:val="00E0055C"/>
    <w:rsid w:val="00E00801"/>
    <w:rsid w:val="00E00A52"/>
    <w:rsid w:val="00E00E10"/>
    <w:rsid w:val="00E01A5C"/>
    <w:rsid w:val="00E01EF9"/>
    <w:rsid w:val="00E0278A"/>
    <w:rsid w:val="00E03850"/>
    <w:rsid w:val="00E03A4D"/>
    <w:rsid w:val="00E051E3"/>
    <w:rsid w:val="00E05567"/>
    <w:rsid w:val="00E06C96"/>
    <w:rsid w:val="00E07092"/>
    <w:rsid w:val="00E07960"/>
    <w:rsid w:val="00E120BC"/>
    <w:rsid w:val="00E1495E"/>
    <w:rsid w:val="00E14F87"/>
    <w:rsid w:val="00E153F6"/>
    <w:rsid w:val="00E20171"/>
    <w:rsid w:val="00E202FD"/>
    <w:rsid w:val="00E20D84"/>
    <w:rsid w:val="00E23428"/>
    <w:rsid w:val="00E26802"/>
    <w:rsid w:val="00E26AC9"/>
    <w:rsid w:val="00E26DD3"/>
    <w:rsid w:val="00E26EFC"/>
    <w:rsid w:val="00E2721C"/>
    <w:rsid w:val="00E321CC"/>
    <w:rsid w:val="00E33130"/>
    <w:rsid w:val="00E33B0C"/>
    <w:rsid w:val="00E34CA4"/>
    <w:rsid w:val="00E35457"/>
    <w:rsid w:val="00E35B00"/>
    <w:rsid w:val="00E35B9F"/>
    <w:rsid w:val="00E36597"/>
    <w:rsid w:val="00E36C97"/>
    <w:rsid w:val="00E37DB3"/>
    <w:rsid w:val="00E4164A"/>
    <w:rsid w:val="00E43631"/>
    <w:rsid w:val="00E43842"/>
    <w:rsid w:val="00E43959"/>
    <w:rsid w:val="00E44367"/>
    <w:rsid w:val="00E4509B"/>
    <w:rsid w:val="00E458E1"/>
    <w:rsid w:val="00E4594A"/>
    <w:rsid w:val="00E4633B"/>
    <w:rsid w:val="00E46A1D"/>
    <w:rsid w:val="00E47699"/>
    <w:rsid w:val="00E47AE4"/>
    <w:rsid w:val="00E50E44"/>
    <w:rsid w:val="00E51561"/>
    <w:rsid w:val="00E515E0"/>
    <w:rsid w:val="00E51DFC"/>
    <w:rsid w:val="00E520AE"/>
    <w:rsid w:val="00E52866"/>
    <w:rsid w:val="00E52E3C"/>
    <w:rsid w:val="00E52FE2"/>
    <w:rsid w:val="00E53CC2"/>
    <w:rsid w:val="00E53FFB"/>
    <w:rsid w:val="00E540F5"/>
    <w:rsid w:val="00E558DB"/>
    <w:rsid w:val="00E55C3D"/>
    <w:rsid w:val="00E569C1"/>
    <w:rsid w:val="00E56E49"/>
    <w:rsid w:val="00E57329"/>
    <w:rsid w:val="00E57558"/>
    <w:rsid w:val="00E57D58"/>
    <w:rsid w:val="00E6253B"/>
    <w:rsid w:val="00E631F7"/>
    <w:rsid w:val="00E670CA"/>
    <w:rsid w:val="00E67F71"/>
    <w:rsid w:val="00E709BE"/>
    <w:rsid w:val="00E72650"/>
    <w:rsid w:val="00E737C0"/>
    <w:rsid w:val="00E73FDC"/>
    <w:rsid w:val="00E74171"/>
    <w:rsid w:val="00E75960"/>
    <w:rsid w:val="00E75A65"/>
    <w:rsid w:val="00E75AF8"/>
    <w:rsid w:val="00E76B9A"/>
    <w:rsid w:val="00E77CC4"/>
    <w:rsid w:val="00E80D8D"/>
    <w:rsid w:val="00E82B96"/>
    <w:rsid w:val="00E8311B"/>
    <w:rsid w:val="00E8456D"/>
    <w:rsid w:val="00E847B0"/>
    <w:rsid w:val="00E85737"/>
    <w:rsid w:val="00E85BBB"/>
    <w:rsid w:val="00E866FF"/>
    <w:rsid w:val="00E90872"/>
    <w:rsid w:val="00E90E69"/>
    <w:rsid w:val="00E91BDE"/>
    <w:rsid w:val="00E921AE"/>
    <w:rsid w:val="00E943EE"/>
    <w:rsid w:val="00E95BF2"/>
    <w:rsid w:val="00E971D8"/>
    <w:rsid w:val="00E97948"/>
    <w:rsid w:val="00E9796E"/>
    <w:rsid w:val="00E97D96"/>
    <w:rsid w:val="00EA0611"/>
    <w:rsid w:val="00EA0EEF"/>
    <w:rsid w:val="00EA3256"/>
    <w:rsid w:val="00EA4C1E"/>
    <w:rsid w:val="00EA5B9D"/>
    <w:rsid w:val="00EA622C"/>
    <w:rsid w:val="00EA66F9"/>
    <w:rsid w:val="00EA6D32"/>
    <w:rsid w:val="00EA7A50"/>
    <w:rsid w:val="00EB0370"/>
    <w:rsid w:val="00EB0800"/>
    <w:rsid w:val="00EB0B83"/>
    <w:rsid w:val="00EB0CDD"/>
    <w:rsid w:val="00EB32C5"/>
    <w:rsid w:val="00EB3B23"/>
    <w:rsid w:val="00EB434B"/>
    <w:rsid w:val="00EB5412"/>
    <w:rsid w:val="00EB7DDB"/>
    <w:rsid w:val="00EC162F"/>
    <w:rsid w:val="00EC363B"/>
    <w:rsid w:val="00EC37A6"/>
    <w:rsid w:val="00EC5A34"/>
    <w:rsid w:val="00EC70DB"/>
    <w:rsid w:val="00EC710C"/>
    <w:rsid w:val="00ED0E03"/>
    <w:rsid w:val="00ED2C69"/>
    <w:rsid w:val="00ED712F"/>
    <w:rsid w:val="00EE01E9"/>
    <w:rsid w:val="00EE036D"/>
    <w:rsid w:val="00EE2DC2"/>
    <w:rsid w:val="00EE4AC3"/>
    <w:rsid w:val="00EE5156"/>
    <w:rsid w:val="00EE51C2"/>
    <w:rsid w:val="00EE5769"/>
    <w:rsid w:val="00EE59AD"/>
    <w:rsid w:val="00EE6CB7"/>
    <w:rsid w:val="00EF3726"/>
    <w:rsid w:val="00EF754A"/>
    <w:rsid w:val="00F001B4"/>
    <w:rsid w:val="00F00FAE"/>
    <w:rsid w:val="00F01A21"/>
    <w:rsid w:val="00F01A66"/>
    <w:rsid w:val="00F01C60"/>
    <w:rsid w:val="00F02013"/>
    <w:rsid w:val="00F03DE8"/>
    <w:rsid w:val="00F07526"/>
    <w:rsid w:val="00F07A2B"/>
    <w:rsid w:val="00F11C8A"/>
    <w:rsid w:val="00F12F8D"/>
    <w:rsid w:val="00F134A9"/>
    <w:rsid w:val="00F13B53"/>
    <w:rsid w:val="00F14CA0"/>
    <w:rsid w:val="00F1510A"/>
    <w:rsid w:val="00F15DDF"/>
    <w:rsid w:val="00F17791"/>
    <w:rsid w:val="00F179E8"/>
    <w:rsid w:val="00F2018D"/>
    <w:rsid w:val="00F21CC4"/>
    <w:rsid w:val="00F22144"/>
    <w:rsid w:val="00F22157"/>
    <w:rsid w:val="00F245A7"/>
    <w:rsid w:val="00F26060"/>
    <w:rsid w:val="00F26328"/>
    <w:rsid w:val="00F26C91"/>
    <w:rsid w:val="00F276B1"/>
    <w:rsid w:val="00F30FA7"/>
    <w:rsid w:val="00F313F6"/>
    <w:rsid w:val="00F36A29"/>
    <w:rsid w:val="00F3719E"/>
    <w:rsid w:val="00F40727"/>
    <w:rsid w:val="00F40A3D"/>
    <w:rsid w:val="00F410EB"/>
    <w:rsid w:val="00F41E34"/>
    <w:rsid w:val="00F423D3"/>
    <w:rsid w:val="00F43013"/>
    <w:rsid w:val="00F437E2"/>
    <w:rsid w:val="00F4389A"/>
    <w:rsid w:val="00F451D7"/>
    <w:rsid w:val="00F45382"/>
    <w:rsid w:val="00F47EE6"/>
    <w:rsid w:val="00F506D3"/>
    <w:rsid w:val="00F50EE6"/>
    <w:rsid w:val="00F550AF"/>
    <w:rsid w:val="00F55FE1"/>
    <w:rsid w:val="00F575B4"/>
    <w:rsid w:val="00F57C13"/>
    <w:rsid w:val="00F610CA"/>
    <w:rsid w:val="00F613CB"/>
    <w:rsid w:val="00F63DA2"/>
    <w:rsid w:val="00F63F44"/>
    <w:rsid w:val="00F65300"/>
    <w:rsid w:val="00F67F68"/>
    <w:rsid w:val="00F71E40"/>
    <w:rsid w:val="00F71FA2"/>
    <w:rsid w:val="00F720E7"/>
    <w:rsid w:val="00F7227E"/>
    <w:rsid w:val="00F72E87"/>
    <w:rsid w:val="00F74A9B"/>
    <w:rsid w:val="00F75FA4"/>
    <w:rsid w:val="00F8095D"/>
    <w:rsid w:val="00F8225E"/>
    <w:rsid w:val="00F8498F"/>
    <w:rsid w:val="00F851EF"/>
    <w:rsid w:val="00F8594D"/>
    <w:rsid w:val="00F86BED"/>
    <w:rsid w:val="00F86BF3"/>
    <w:rsid w:val="00F877B6"/>
    <w:rsid w:val="00F90BC7"/>
    <w:rsid w:val="00F924D8"/>
    <w:rsid w:val="00F92EE1"/>
    <w:rsid w:val="00F9345A"/>
    <w:rsid w:val="00F93BD2"/>
    <w:rsid w:val="00F93C24"/>
    <w:rsid w:val="00F94183"/>
    <w:rsid w:val="00F94B71"/>
    <w:rsid w:val="00F956E8"/>
    <w:rsid w:val="00F96212"/>
    <w:rsid w:val="00F96864"/>
    <w:rsid w:val="00F96CAF"/>
    <w:rsid w:val="00FA10BA"/>
    <w:rsid w:val="00FA28A4"/>
    <w:rsid w:val="00FA311F"/>
    <w:rsid w:val="00FA5505"/>
    <w:rsid w:val="00FA61B6"/>
    <w:rsid w:val="00FA6853"/>
    <w:rsid w:val="00FA6E2C"/>
    <w:rsid w:val="00FA7483"/>
    <w:rsid w:val="00FA7C9E"/>
    <w:rsid w:val="00FA7FBC"/>
    <w:rsid w:val="00FB007F"/>
    <w:rsid w:val="00FB01B6"/>
    <w:rsid w:val="00FB0360"/>
    <w:rsid w:val="00FB0AF5"/>
    <w:rsid w:val="00FB115A"/>
    <w:rsid w:val="00FB12A7"/>
    <w:rsid w:val="00FB1555"/>
    <w:rsid w:val="00FB1B83"/>
    <w:rsid w:val="00FB37B0"/>
    <w:rsid w:val="00FB412A"/>
    <w:rsid w:val="00FB4633"/>
    <w:rsid w:val="00FB5CE7"/>
    <w:rsid w:val="00FB5D4C"/>
    <w:rsid w:val="00FB6B01"/>
    <w:rsid w:val="00FB793D"/>
    <w:rsid w:val="00FB7DA0"/>
    <w:rsid w:val="00FC03C3"/>
    <w:rsid w:val="00FC1D34"/>
    <w:rsid w:val="00FC3B28"/>
    <w:rsid w:val="00FC4E76"/>
    <w:rsid w:val="00FC5C09"/>
    <w:rsid w:val="00FC5CB1"/>
    <w:rsid w:val="00FC74EF"/>
    <w:rsid w:val="00FC7B21"/>
    <w:rsid w:val="00FD1466"/>
    <w:rsid w:val="00FD19FE"/>
    <w:rsid w:val="00FD1EE9"/>
    <w:rsid w:val="00FD256F"/>
    <w:rsid w:val="00FD4D48"/>
    <w:rsid w:val="00FD5692"/>
    <w:rsid w:val="00FD5F8B"/>
    <w:rsid w:val="00FD6B97"/>
    <w:rsid w:val="00FD7355"/>
    <w:rsid w:val="00FE18BD"/>
    <w:rsid w:val="00FE2656"/>
    <w:rsid w:val="00FE2682"/>
    <w:rsid w:val="00FE33F8"/>
    <w:rsid w:val="00FE411C"/>
    <w:rsid w:val="00FE48B0"/>
    <w:rsid w:val="00FE51FB"/>
    <w:rsid w:val="00FE5597"/>
    <w:rsid w:val="00FE5A94"/>
    <w:rsid w:val="00FE6E2F"/>
    <w:rsid w:val="00FF0AAD"/>
    <w:rsid w:val="00FF0E49"/>
    <w:rsid w:val="00FF10CE"/>
    <w:rsid w:val="00FF18A6"/>
    <w:rsid w:val="00FF2308"/>
    <w:rsid w:val="00FF2A61"/>
    <w:rsid w:val="00FF336E"/>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266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0"/>
    <w:lsdException w:name="footer" w:unhideWhenUsed="0"/>
    <w:lsdException w:name="caption" w:qFormat="1"/>
    <w:lsdException w:name="annotation reference"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 Bullets,목록 단락"/>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qFormat/>
    <w:rsid w:val="002C368B"/>
    <w:rPr>
      <w:sz w:val="21"/>
      <w:szCs w:val="21"/>
    </w:rPr>
  </w:style>
  <w:style w:type="paragraph" w:styleId="CommentText">
    <w:name w:val="annotation text"/>
    <w:basedOn w:val="Normal"/>
    <w:link w:val="CommentTextChar"/>
    <w:unhideWhenUsed/>
    <w:qFormat/>
    <w:rsid w:val="002C368B"/>
  </w:style>
  <w:style w:type="character" w:customStyle="1" w:styleId="CommentTextChar">
    <w:name w:val="Comment Text Char"/>
    <w:basedOn w:val="DefaultParagraphFont"/>
    <w:link w:val="CommentText"/>
    <w:qForma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uiPriority w:val="22"/>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4C6A8B"/>
    <w:rPr>
      <w:b/>
      <w:lang w:val="en-GB" w:eastAsia="en-US"/>
    </w:rPr>
  </w:style>
  <w:style w:type="character" w:customStyle="1" w:styleId="ListParagraphChar">
    <w:name w:val="List Paragraph Char"/>
    <w:aliases w:val="- Bullets Char,목록 단락 Char"/>
    <w:link w:val="ListParagraph"/>
    <w:uiPriority w:val="34"/>
    <w:qFormat/>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apple-converted-space">
    <w:name w:val="apple-converted-space"/>
    <w:basedOn w:val="DefaultParagraphFont"/>
    <w:rsid w:val="004E076E"/>
  </w:style>
  <w:style w:type="character" w:customStyle="1" w:styleId="copied">
    <w:name w:val="copied"/>
    <w:basedOn w:val="DefaultParagraphFont"/>
    <w:rsid w:val="008720F6"/>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84080">
      <w:bodyDiv w:val="1"/>
      <w:marLeft w:val="0"/>
      <w:marRight w:val="0"/>
      <w:marTop w:val="0"/>
      <w:marBottom w:val="0"/>
      <w:divBdr>
        <w:top w:val="none" w:sz="0" w:space="0" w:color="auto"/>
        <w:left w:val="none" w:sz="0" w:space="0" w:color="auto"/>
        <w:bottom w:val="none" w:sz="0" w:space="0" w:color="auto"/>
        <w:right w:val="none" w:sz="0" w:space="0" w:color="auto"/>
      </w:divBdr>
    </w:div>
    <w:div w:id="130251877">
      <w:bodyDiv w:val="1"/>
      <w:marLeft w:val="0"/>
      <w:marRight w:val="0"/>
      <w:marTop w:val="0"/>
      <w:marBottom w:val="0"/>
      <w:divBdr>
        <w:top w:val="none" w:sz="0" w:space="0" w:color="auto"/>
        <w:left w:val="none" w:sz="0" w:space="0" w:color="auto"/>
        <w:bottom w:val="none" w:sz="0" w:space="0" w:color="auto"/>
        <w:right w:val="none" w:sz="0" w:space="0" w:color="auto"/>
      </w:divBdr>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492454285">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0411396">
      <w:bodyDiv w:val="1"/>
      <w:marLeft w:val="0"/>
      <w:marRight w:val="0"/>
      <w:marTop w:val="0"/>
      <w:marBottom w:val="0"/>
      <w:divBdr>
        <w:top w:val="none" w:sz="0" w:space="0" w:color="auto"/>
        <w:left w:val="none" w:sz="0" w:space="0" w:color="auto"/>
        <w:bottom w:val="none" w:sz="0" w:space="0" w:color="auto"/>
        <w:right w:val="none" w:sz="0" w:space="0" w:color="auto"/>
      </w:divBdr>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2202494">
      <w:bodyDiv w:val="1"/>
      <w:marLeft w:val="0"/>
      <w:marRight w:val="0"/>
      <w:marTop w:val="0"/>
      <w:marBottom w:val="0"/>
      <w:divBdr>
        <w:top w:val="none" w:sz="0" w:space="0" w:color="auto"/>
        <w:left w:val="none" w:sz="0" w:space="0" w:color="auto"/>
        <w:bottom w:val="none" w:sz="0" w:space="0" w:color="auto"/>
        <w:right w:val="none" w:sz="0" w:space="0" w:color="auto"/>
      </w:divBdr>
    </w:div>
    <w:div w:id="598219796">
      <w:bodyDiv w:val="1"/>
      <w:marLeft w:val="0"/>
      <w:marRight w:val="0"/>
      <w:marTop w:val="0"/>
      <w:marBottom w:val="0"/>
      <w:divBdr>
        <w:top w:val="none" w:sz="0" w:space="0" w:color="auto"/>
        <w:left w:val="none" w:sz="0" w:space="0" w:color="auto"/>
        <w:bottom w:val="none" w:sz="0" w:space="0" w:color="auto"/>
        <w:right w:val="none" w:sz="0" w:space="0" w:color="auto"/>
      </w:divBdr>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166439">
      <w:bodyDiv w:val="1"/>
      <w:marLeft w:val="0"/>
      <w:marRight w:val="0"/>
      <w:marTop w:val="0"/>
      <w:marBottom w:val="0"/>
      <w:divBdr>
        <w:top w:val="none" w:sz="0" w:space="0" w:color="auto"/>
        <w:left w:val="none" w:sz="0" w:space="0" w:color="auto"/>
        <w:bottom w:val="none" w:sz="0" w:space="0" w:color="auto"/>
        <w:right w:val="none" w:sz="0" w:space="0" w:color="auto"/>
      </w:divBdr>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048361">
      <w:bodyDiv w:val="1"/>
      <w:marLeft w:val="0"/>
      <w:marRight w:val="0"/>
      <w:marTop w:val="0"/>
      <w:marBottom w:val="0"/>
      <w:divBdr>
        <w:top w:val="none" w:sz="0" w:space="0" w:color="auto"/>
        <w:left w:val="none" w:sz="0" w:space="0" w:color="auto"/>
        <w:bottom w:val="none" w:sz="0" w:space="0" w:color="auto"/>
        <w:right w:val="none" w:sz="0" w:space="0" w:color="auto"/>
      </w:divBdr>
    </w:div>
    <w:div w:id="758793823">
      <w:bodyDiv w:val="1"/>
      <w:marLeft w:val="0"/>
      <w:marRight w:val="0"/>
      <w:marTop w:val="0"/>
      <w:marBottom w:val="0"/>
      <w:divBdr>
        <w:top w:val="none" w:sz="0" w:space="0" w:color="auto"/>
        <w:left w:val="none" w:sz="0" w:space="0" w:color="auto"/>
        <w:bottom w:val="none" w:sz="0" w:space="0" w:color="auto"/>
        <w:right w:val="none" w:sz="0" w:space="0" w:color="auto"/>
      </w:divBdr>
      <w:divsChild>
        <w:div w:id="126242293">
          <w:marLeft w:val="1166"/>
          <w:marRight w:val="0"/>
          <w:marTop w:val="67"/>
          <w:marBottom w:val="0"/>
          <w:divBdr>
            <w:top w:val="none" w:sz="0" w:space="0" w:color="auto"/>
            <w:left w:val="none" w:sz="0" w:space="0" w:color="auto"/>
            <w:bottom w:val="none" w:sz="0" w:space="0" w:color="auto"/>
            <w:right w:val="none" w:sz="0" w:space="0" w:color="auto"/>
          </w:divBdr>
        </w:div>
        <w:div w:id="200480894">
          <w:marLeft w:val="1166"/>
          <w:marRight w:val="0"/>
          <w:marTop w:val="67"/>
          <w:marBottom w:val="0"/>
          <w:divBdr>
            <w:top w:val="none" w:sz="0" w:space="0" w:color="auto"/>
            <w:left w:val="none" w:sz="0" w:space="0" w:color="auto"/>
            <w:bottom w:val="none" w:sz="0" w:space="0" w:color="auto"/>
            <w:right w:val="none" w:sz="0" w:space="0" w:color="auto"/>
          </w:divBdr>
        </w:div>
        <w:div w:id="1432703886">
          <w:marLeft w:val="288"/>
          <w:marRight w:val="0"/>
          <w:marTop w:val="77"/>
          <w:marBottom w:val="0"/>
          <w:divBdr>
            <w:top w:val="none" w:sz="0" w:space="0" w:color="auto"/>
            <w:left w:val="none" w:sz="0" w:space="0" w:color="auto"/>
            <w:bottom w:val="none" w:sz="0" w:space="0" w:color="auto"/>
            <w:right w:val="none" w:sz="0" w:space="0" w:color="auto"/>
          </w:divBdr>
        </w:div>
        <w:div w:id="1507750393">
          <w:marLeft w:val="1166"/>
          <w:marRight w:val="0"/>
          <w:marTop w:val="67"/>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0149953">
      <w:bodyDiv w:val="1"/>
      <w:marLeft w:val="0"/>
      <w:marRight w:val="0"/>
      <w:marTop w:val="0"/>
      <w:marBottom w:val="0"/>
      <w:divBdr>
        <w:top w:val="none" w:sz="0" w:space="0" w:color="auto"/>
        <w:left w:val="none" w:sz="0" w:space="0" w:color="auto"/>
        <w:bottom w:val="none" w:sz="0" w:space="0" w:color="auto"/>
        <w:right w:val="none" w:sz="0" w:space="0" w:color="auto"/>
      </w:divBdr>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189257">
      <w:bodyDiv w:val="1"/>
      <w:marLeft w:val="0"/>
      <w:marRight w:val="0"/>
      <w:marTop w:val="0"/>
      <w:marBottom w:val="0"/>
      <w:divBdr>
        <w:top w:val="none" w:sz="0" w:space="0" w:color="auto"/>
        <w:left w:val="none" w:sz="0" w:space="0" w:color="auto"/>
        <w:bottom w:val="none" w:sz="0" w:space="0" w:color="auto"/>
        <w:right w:val="none" w:sz="0" w:space="0" w:color="auto"/>
      </w:divBdr>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8008502">
      <w:bodyDiv w:val="1"/>
      <w:marLeft w:val="0"/>
      <w:marRight w:val="0"/>
      <w:marTop w:val="0"/>
      <w:marBottom w:val="0"/>
      <w:divBdr>
        <w:top w:val="none" w:sz="0" w:space="0" w:color="auto"/>
        <w:left w:val="none" w:sz="0" w:space="0" w:color="auto"/>
        <w:bottom w:val="none" w:sz="0" w:space="0" w:color="auto"/>
        <w:right w:val="none" w:sz="0" w:space="0" w:color="auto"/>
      </w:divBdr>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592086420">
      <w:bodyDiv w:val="1"/>
      <w:marLeft w:val="0"/>
      <w:marRight w:val="0"/>
      <w:marTop w:val="0"/>
      <w:marBottom w:val="0"/>
      <w:divBdr>
        <w:top w:val="none" w:sz="0" w:space="0" w:color="auto"/>
        <w:left w:val="none" w:sz="0" w:space="0" w:color="auto"/>
        <w:bottom w:val="none" w:sz="0" w:space="0" w:color="auto"/>
        <w:right w:val="none" w:sz="0" w:space="0" w:color="auto"/>
      </w:divBdr>
      <w:divsChild>
        <w:div w:id="436218935">
          <w:marLeft w:val="1166"/>
          <w:marRight w:val="0"/>
          <w:marTop w:val="72"/>
          <w:marBottom w:val="0"/>
          <w:divBdr>
            <w:top w:val="none" w:sz="0" w:space="0" w:color="auto"/>
            <w:left w:val="none" w:sz="0" w:space="0" w:color="auto"/>
            <w:bottom w:val="none" w:sz="0" w:space="0" w:color="auto"/>
            <w:right w:val="none" w:sz="0" w:space="0" w:color="auto"/>
          </w:divBdr>
        </w:div>
        <w:div w:id="1137794249">
          <w:marLeft w:val="1166"/>
          <w:marRight w:val="0"/>
          <w:marTop w:val="72"/>
          <w:marBottom w:val="0"/>
          <w:divBdr>
            <w:top w:val="none" w:sz="0" w:space="0" w:color="auto"/>
            <w:left w:val="none" w:sz="0" w:space="0" w:color="auto"/>
            <w:bottom w:val="none" w:sz="0" w:space="0" w:color="auto"/>
            <w:right w:val="none" w:sz="0" w:space="0" w:color="auto"/>
          </w:divBdr>
        </w:div>
        <w:div w:id="1597131944">
          <w:marLeft w:val="1166"/>
          <w:marRight w:val="0"/>
          <w:marTop w:val="72"/>
          <w:marBottom w:val="0"/>
          <w:divBdr>
            <w:top w:val="none" w:sz="0" w:space="0" w:color="auto"/>
            <w:left w:val="none" w:sz="0" w:space="0" w:color="auto"/>
            <w:bottom w:val="none" w:sz="0" w:space="0" w:color="auto"/>
            <w:right w:val="none" w:sz="0" w:space="0" w:color="auto"/>
          </w:divBdr>
        </w:div>
        <w:div w:id="146826825">
          <w:marLeft w:val="1166"/>
          <w:marRight w:val="0"/>
          <w:marTop w:val="72"/>
          <w:marBottom w:val="0"/>
          <w:divBdr>
            <w:top w:val="none" w:sz="0" w:space="0" w:color="auto"/>
            <w:left w:val="none" w:sz="0" w:space="0" w:color="auto"/>
            <w:bottom w:val="none" w:sz="0" w:space="0" w:color="auto"/>
            <w:right w:val="none" w:sz="0" w:space="0" w:color="auto"/>
          </w:divBdr>
        </w:div>
        <w:div w:id="908199610">
          <w:marLeft w:val="1166"/>
          <w:marRight w:val="0"/>
          <w:marTop w:val="72"/>
          <w:marBottom w:val="0"/>
          <w:divBdr>
            <w:top w:val="none" w:sz="0" w:space="0" w:color="auto"/>
            <w:left w:val="none" w:sz="0" w:space="0" w:color="auto"/>
            <w:bottom w:val="none" w:sz="0" w:space="0" w:color="auto"/>
            <w:right w:val="none" w:sz="0" w:space="0" w:color="auto"/>
          </w:divBdr>
        </w:div>
        <w:div w:id="511577658">
          <w:marLeft w:val="1800"/>
          <w:marRight w:val="0"/>
          <w:marTop w:val="67"/>
          <w:marBottom w:val="0"/>
          <w:divBdr>
            <w:top w:val="none" w:sz="0" w:space="0" w:color="auto"/>
            <w:left w:val="none" w:sz="0" w:space="0" w:color="auto"/>
            <w:bottom w:val="none" w:sz="0" w:space="0" w:color="auto"/>
            <w:right w:val="none" w:sz="0" w:space="0" w:color="auto"/>
          </w:divBdr>
        </w:div>
      </w:divsChild>
    </w:div>
    <w:div w:id="1752963507">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871990714">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68660223">
      <w:bodyDiv w:val="1"/>
      <w:marLeft w:val="0"/>
      <w:marRight w:val="0"/>
      <w:marTop w:val="0"/>
      <w:marBottom w:val="0"/>
      <w:divBdr>
        <w:top w:val="none" w:sz="0" w:space="0" w:color="auto"/>
        <w:left w:val="none" w:sz="0" w:space="0" w:color="auto"/>
        <w:bottom w:val="none" w:sz="0" w:space="0" w:color="auto"/>
        <w:right w:val="none" w:sz="0" w:space="0" w:color="auto"/>
      </w:divBdr>
    </w:div>
    <w:div w:id="197617926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02417562">
      <w:bodyDiv w:val="1"/>
      <w:marLeft w:val="0"/>
      <w:marRight w:val="0"/>
      <w:marTop w:val="0"/>
      <w:marBottom w:val="0"/>
      <w:divBdr>
        <w:top w:val="none" w:sz="0" w:space="0" w:color="auto"/>
        <w:left w:val="none" w:sz="0" w:space="0" w:color="auto"/>
        <w:bottom w:val="none" w:sz="0" w:space="0" w:color="auto"/>
        <w:right w:val="none" w:sz="0" w:space="0" w:color="auto"/>
      </w:divBdr>
    </w:div>
    <w:div w:id="2017153410">
      <w:bodyDiv w:val="1"/>
      <w:marLeft w:val="0"/>
      <w:marRight w:val="0"/>
      <w:marTop w:val="0"/>
      <w:marBottom w:val="0"/>
      <w:divBdr>
        <w:top w:val="none" w:sz="0" w:space="0" w:color="auto"/>
        <w:left w:val="none" w:sz="0" w:space="0" w:color="auto"/>
        <w:bottom w:val="none" w:sz="0" w:space="0" w:color="auto"/>
        <w:right w:val="none" w:sz="0" w:space="0" w:color="auto"/>
      </w:divBdr>
    </w:div>
    <w:div w:id="2050031777">
      <w:bodyDiv w:val="1"/>
      <w:marLeft w:val="0"/>
      <w:marRight w:val="0"/>
      <w:marTop w:val="0"/>
      <w:marBottom w:val="0"/>
      <w:divBdr>
        <w:top w:val="none" w:sz="0" w:space="0" w:color="auto"/>
        <w:left w:val="none" w:sz="0" w:space="0" w:color="auto"/>
        <w:bottom w:val="none" w:sz="0" w:space="0" w:color="auto"/>
        <w:right w:val="none" w:sz="0" w:space="0" w:color="auto"/>
      </w:divBdr>
    </w:div>
    <w:div w:id="2066488022">
      <w:bodyDiv w:val="1"/>
      <w:marLeft w:val="0"/>
      <w:marRight w:val="0"/>
      <w:marTop w:val="0"/>
      <w:marBottom w:val="0"/>
      <w:divBdr>
        <w:top w:val="none" w:sz="0" w:space="0" w:color="auto"/>
        <w:left w:val="none" w:sz="0" w:space="0" w:color="auto"/>
        <w:bottom w:val="none" w:sz="0" w:space="0" w:color="auto"/>
        <w:right w:val="none" w:sz="0" w:space="0" w:color="auto"/>
      </w:divBdr>
    </w:div>
    <w:div w:id="208614458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454257938">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523398552">
          <w:marLeft w:val="547"/>
          <w:marRight w:val="0"/>
          <w:marTop w:val="130"/>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06EE8-8AB5-4F78-82FB-82667163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2527</Words>
  <Characters>13394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 Peng</dc:creator>
  <cp:lastModifiedBy>Thorsten</cp:lastModifiedBy>
  <cp:revision>4</cp:revision>
  <cp:lastPrinted>2016-09-15T07:38:00Z</cp:lastPrinted>
  <dcterms:created xsi:type="dcterms:W3CDTF">2017-12-10T09:20:00Z</dcterms:created>
  <dcterms:modified xsi:type="dcterms:W3CDTF">2017-12-10T09:42:00Z</dcterms:modified>
</cp:coreProperties>
</file>